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F125D82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VZ povin</w:t>
      </w:r>
      <w:r w:rsidR="00DF145C">
        <w:rPr>
          <w:rFonts w:ascii="Arial" w:hAnsi="Arial" w:cs="Arial"/>
          <w:szCs w:val="20"/>
        </w:rPr>
        <w:t>ni</w:t>
      </w:r>
      <w:r w:rsidRPr="004F034D">
        <w:rPr>
          <w:rFonts w:ascii="Arial" w:hAnsi="Arial" w:cs="Arial"/>
          <w:szCs w:val="20"/>
        </w:rPr>
        <w:t xml:space="preserve"> </w:t>
      </w:r>
      <w:r w:rsidRPr="00552273">
        <w:rPr>
          <w:rFonts w:ascii="Arial" w:hAnsi="Arial" w:cs="Arial"/>
          <w:szCs w:val="20"/>
        </w:rPr>
        <w:t>zadat veřejnou zakázku v zadávacím řízení. Kupující dále prohlašuj</w:t>
      </w:r>
      <w:r w:rsidR="00DF145C" w:rsidRPr="00552273">
        <w:rPr>
          <w:rFonts w:ascii="Arial" w:hAnsi="Arial" w:cs="Arial"/>
          <w:szCs w:val="20"/>
        </w:rPr>
        <w:t>í</w:t>
      </w:r>
      <w:r w:rsidRPr="00552273">
        <w:rPr>
          <w:rFonts w:ascii="Arial" w:hAnsi="Arial" w:cs="Arial"/>
          <w:szCs w:val="20"/>
        </w:rPr>
        <w:t>, že dne</w:t>
      </w:r>
      <w:r w:rsidR="007E0772" w:rsidRPr="00552273">
        <w:rPr>
          <w:rFonts w:ascii="Arial" w:hAnsi="Arial" w:cs="Arial"/>
          <w:szCs w:val="20"/>
        </w:rPr>
        <w:t xml:space="preserve"> </w:t>
      </w:r>
      <w:r w:rsidR="00552273" w:rsidRPr="00552273">
        <w:rPr>
          <w:rFonts w:ascii="Arial" w:hAnsi="Arial" w:cs="Arial"/>
          <w:b/>
          <w:szCs w:val="20"/>
        </w:rPr>
        <w:t>27. 3. 2026</w:t>
      </w:r>
      <w:r w:rsidR="007E0772" w:rsidRPr="00552273">
        <w:rPr>
          <w:rFonts w:ascii="Arial" w:hAnsi="Arial" w:cs="Arial"/>
          <w:szCs w:val="20"/>
        </w:rPr>
        <w:t xml:space="preserve"> </w:t>
      </w:r>
      <w:r w:rsidR="00B76C19" w:rsidRPr="00552273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552273">
        <w:rPr>
          <w:rFonts w:ascii="Arial" w:hAnsi="Arial" w:cs="Arial"/>
          <w:szCs w:val="20"/>
        </w:rPr>
        <w:t>ust</w:t>
      </w:r>
      <w:proofErr w:type="spellEnd"/>
      <w:r w:rsidR="00B76C19" w:rsidRPr="00552273">
        <w:rPr>
          <w:rFonts w:ascii="Arial" w:hAnsi="Arial" w:cs="Arial"/>
          <w:szCs w:val="20"/>
        </w:rPr>
        <w:t xml:space="preserve">. § 56 </w:t>
      </w:r>
      <w:r w:rsidR="002C1BA7" w:rsidRPr="00552273">
        <w:rPr>
          <w:rFonts w:ascii="Arial" w:hAnsi="Arial" w:cs="Arial"/>
          <w:szCs w:val="20"/>
        </w:rPr>
        <w:t>Z</w:t>
      </w:r>
      <w:r w:rsidR="00B76C19" w:rsidRPr="00552273">
        <w:rPr>
          <w:rFonts w:ascii="Arial" w:hAnsi="Arial" w:cs="Arial"/>
          <w:szCs w:val="20"/>
        </w:rPr>
        <w:t>ZVZ odesla</w:t>
      </w:r>
      <w:r w:rsidR="00DF145C" w:rsidRPr="00552273">
        <w:rPr>
          <w:rFonts w:ascii="Arial" w:hAnsi="Arial" w:cs="Arial"/>
          <w:szCs w:val="20"/>
        </w:rPr>
        <w:t>l</w:t>
      </w:r>
      <w:r w:rsidR="003D1CE5" w:rsidRPr="00552273">
        <w:rPr>
          <w:rFonts w:ascii="Arial" w:hAnsi="Arial" w:cs="Arial"/>
          <w:szCs w:val="20"/>
        </w:rPr>
        <w:t>a</w:t>
      </w:r>
      <w:r w:rsidR="00DF145C" w:rsidRPr="00552273">
        <w:rPr>
          <w:rFonts w:ascii="Arial" w:hAnsi="Arial" w:cs="Arial"/>
          <w:szCs w:val="20"/>
        </w:rPr>
        <w:t xml:space="preserve"> </w:t>
      </w:r>
      <w:r w:rsidR="003D1CE5" w:rsidRPr="00552273">
        <w:rPr>
          <w:rFonts w:ascii="Arial" w:hAnsi="Arial" w:cs="Arial"/>
          <w:szCs w:val="20"/>
        </w:rPr>
        <w:t xml:space="preserve">jimi pověřená osoba </w:t>
      </w:r>
      <w:r w:rsidR="00B76C19" w:rsidRPr="00552273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552273">
        <w:rPr>
          <w:rFonts w:ascii="Arial" w:hAnsi="Arial" w:cs="Arial"/>
          <w:szCs w:val="20"/>
        </w:rPr>
        <w:t>Z</w:t>
      </w:r>
      <w:r w:rsidR="00B76C19" w:rsidRPr="00552273">
        <w:rPr>
          <w:rFonts w:ascii="Arial" w:hAnsi="Arial" w:cs="Arial"/>
          <w:szCs w:val="20"/>
        </w:rPr>
        <w:t xml:space="preserve">ZVZ </w:t>
      </w:r>
      <w:r w:rsidRPr="00552273">
        <w:rPr>
          <w:rFonts w:ascii="Arial" w:hAnsi="Arial" w:cs="Arial"/>
          <w:szCs w:val="20"/>
        </w:rPr>
        <w:t xml:space="preserve">pod evidenčním číslem </w:t>
      </w:r>
      <w:r w:rsidR="004F034D" w:rsidRPr="00552273">
        <w:rPr>
          <w:rFonts w:ascii="Arial" w:hAnsi="Arial" w:cs="Arial"/>
          <w:b/>
          <w:szCs w:val="20"/>
        </w:rPr>
        <w:t>Z</w:t>
      </w:r>
      <w:r w:rsidR="00552273" w:rsidRPr="00552273">
        <w:rPr>
          <w:rFonts w:ascii="Arial" w:hAnsi="Arial" w:cs="Arial"/>
          <w:b/>
          <w:szCs w:val="20"/>
        </w:rPr>
        <w:t>2026-016045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</w:t>
      </w:r>
      <w:bookmarkStart w:id="8" w:name="_GoBack"/>
      <w:bookmarkEnd w:id="8"/>
      <w:r w:rsidRPr="004F034D">
        <w:rPr>
          <w:rFonts w:ascii="Arial" w:hAnsi="Arial" w:cs="Arial"/>
          <w:szCs w:val="20"/>
        </w:rPr>
        <w:t xml:space="preserve">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>JIH</w:t>
      </w:r>
      <w:r w:rsidR="00CD10C9" w:rsidRPr="0083390F">
        <w:rPr>
          <w:rFonts w:ascii="Arial" w:hAnsi="Arial" w:cs="Arial"/>
          <w:b/>
          <w:szCs w:val="20"/>
        </w:rPr>
        <w:t xml:space="preserve">NEM </w:t>
      </w:r>
      <w:r w:rsidR="00FE6FD2" w:rsidRPr="0083390F">
        <w:rPr>
          <w:rFonts w:ascii="Arial" w:hAnsi="Arial" w:cs="Arial"/>
          <w:b/>
          <w:szCs w:val="20"/>
        </w:rPr>
        <w:t>(</w:t>
      </w:r>
      <w:r w:rsidR="0083390F" w:rsidRPr="0083390F">
        <w:rPr>
          <w:rFonts w:ascii="Arial" w:hAnsi="Arial" w:cs="Arial"/>
          <w:b/>
          <w:szCs w:val="20"/>
        </w:rPr>
        <w:t>052026</w:t>
      </w:r>
      <w:r w:rsidR="00FE6FD2" w:rsidRPr="0083390F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83390F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celý název části doplní účastník]"/>
            </w:textInput>
          </w:ffData>
        </w:fldChar>
      </w:r>
      <w:bookmarkStart w:id="9" w:name="Text71"/>
      <w:r w:rsidR="0083390F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83390F">
        <w:rPr>
          <w:rFonts w:ascii="Arial" w:hAnsi="Arial" w:cs="Arial"/>
          <w:b/>
          <w:szCs w:val="20"/>
          <w:highlight w:val="yellow"/>
        </w:rPr>
      </w:r>
      <w:r w:rsidR="0083390F">
        <w:rPr>
          <w:rFonts w:ascii="Arial" w:hAnsi="Arial" w:cs="Arial"/>
          <w:b/>
          <w:szCs w:val="20"/>
          <w:highlight w:val="yellow"/>
        </w:rPr>
        <w:fldChar w:fldCharType="separate"/>
      </w:r>
      <w:r w:rsidR="0083390F">
        <w:rPr>
          <w:rFonts w:ascii="Arial" w:hAnsi="Arial" w:cs="Arial"/>
          <w:b/>
          <w:noProof/>
          <w:szCs w:val="20"/>
          <w:highlight w:val="yellow"/>
        </w:rPr>
        <w:t>[celý název části doplní účastník]</w:t>
      </w:r>
      <w:r w:rsidR="0083390F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7A79E7E6" w14:textId="77777777" w:rsidR="00FE6FD2" w:rsidRDefault="00FE6FD2" w:rsidP="00FE6FD2">
      <w:pPr>
        <w:pStyle w:val="Nadpis2"/>
        <w:numPr>
          <w:ilvl w:val="1"/>
          <w:numId w:val="3"/>
        </w:numPr>
        <w:tabs>
          <w:tab w:val="clear" w:pos="1824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953E2C">
        <w:rPr>
          <w:rFonts w:ascii="Arial" w:hAnsi="Arial" w:cs="Arial"/>
          <w:b w:val="0"/>
          <w:sz w:val="20"/>
          <w:u w:val="none"/>
        </w:rPr>
        <w:t xml:space="preserve">Smluvní strany berou na vědomí, že Prodávající dodává Zboží, které je předmětem této smlouvy prostřednictvím společnosti </w:t>
      </w:r>
      <w:r w:rsidRPr="000E486D">
        <w:rPr>
          <w:rFonts w:ascii="Arial" w:hAnsi="Arial" w:cs="Arial"/>
          <w:iCs w:val="0"/>
          <w:sz w:val="20"/>
          <w:u w:val="non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0E486D">
        <w:rPr>
          <w:rFonts w:ascii="Arial" w:hAnsi="Arial" w:cs="Arial"/>
          <w:iCs w:val="0"/>
          <w:sz w:val="20"/>
          <w:u w:val="none"/>
        </w:rPr>
        <w:instrText xml:space="preserve"> FORMTEXT </w:instrText>
      </w:r>
      <w:r w:rsidRPr="000E486D">
        <w:rPr>
          <w:rFonts w:ascii="Arial" w:hAnsi="Arial" w:cs="Arial"/>
          <w:iCs w:val="0"/>
          <w:sz w:val="20"/>
          <w:u w:val="none"/>
        </w:rPr>
      </w:r>
      <w:r w:rsidRPr="000E486D">
        <w:rPr>
          <w:rFonts w:ascii="Arial" w:hAnsi="Arial" w:cs="Arial"/>
          <w:iCs w:val="0"/>
          <w:sz w:val="20"/>
          <w:u w:val="none"/>
        </w:rPr>
        <w:fldChar w:fldCharType="separate"/>
      </w:r>
      <w:r w:rsidRPr="000E486D">
        <w:rPr>
          <w:rFonts w:ascii="Arial" w:hAnsi="Arial" w:cs="Arial"/>
          <w:iCs w:val="0"/>
          <w:noProof/>
          <w:sz w:val="20"/>
          <w:u w:val="none"/>
        </w:rPr>
        <w:t> </w:t>
      </w:r>
      <w:r w:rsidRPr="000E486D">
        <w:rPr>
          <w:rFonts w:ascii="Arial" w:hAnsi="Arial" w:cs="Arial"/>
          <w:iCs w:val="0"/>
          <w:noProof/>
          <w:sz w:val="20"/>
          <w:u w:val="none"/>
        </w:rPr>
        <w:t> </w:t>
      </w:r>
      <w:r w:rsidRPr="000E486D">
        <w:rPr>
          <w:rFonts w:ascii="Arial" w:hAnsi="Arial" w:cs="Arial"/>
          <w:iCs w:val="0"/>
          <w:noProof/>
          <w:sz w:val="20"/>
          <w:u w:val="none"/>
        </w:rPr>
        <w:t> </w:t>
      </w:r>
      <w:r w:rsidRPr="000E486D">
        <w:rPr>
          <w:rFonts w:ascii="Arial" w:hAnsi="Arial" w:cs="Arial"/>
          <w:iCs w:val="0"/>
          <w:noProof/>
          <w:sz w:val="20"/>
          <w:u w:val="none"/>
        </w:rPr>
        <w:t> </w:t>
      </w:r>
      <w:r w:rsidRPr="000E486D">
        <w:rPr>
          <w:rFonts w:ascii="Arial" w:hAnsi="Arial" w:cs="Arial"/>
          <w:iCs w:val="0"/>
          <w:noProof/>
          <w:sz w:val="20"/>
          <w:u w:val="none"/>
        </w:rPr>
        <w:t> </w:t>
      </w:r>
      <w:r w:rsidRPr="000E486D">
        <w:rPr>
          <w:rFonts w:ascii="Arial" w:hAnsi="Arial" w:cs="Arial"/>
          <w:iCs w:val="0"/>
          <w:sz w:val="20"/>
          <w:u w:val="none"/>
        </w:rPr>
        <w:fldChar w:fldCharType="end"/>
      </w:r>
      <w:r w:rsidRPr="00953E2C">
        <w:rPr>
          <w:rFonts w:ascii="Arial" w:hAnsi="Arial" w:cs="Arial"/>
          <w:b w:val="0"/>
          <w:sz w:val="20"/>
          <w:u w:val="none"/>
        </w:rPr>
        <w:t xml:space="preserve">., sídlem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2" w:name="Text75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2"/>
      <w:r w:rsidRPr="00953E2C">
        <w:rPr>
          <w:rFonts w:ascii="Arial" w:hAnsi="Arial" w:cs="Arial"/>
          <w:b w:val="0"/>
          <w:sz w:val="20"/>
          <w:u w:val="none"/>
        </w:rPr>
        <w:t xml:space="preserve">, IČO: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3" w:name="Text74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3"/>
      <w:r w:rsidRPr="00953E2C">
        <w:rPr>
          <w:rFonts w:ascii="Arial" w:hAnsi="Arial" w:cs="Arial"/>
          <w:b w:val="0"/>
          <w:sz w:val="20"/>
          <w:u w:val="none"/>
        </w:rPr>
        <w:t xml:space="preserve">, zapsané v obchodním rejstříku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t xml:space="preserve">vedeném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4" w:name="Text76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4"/>
      <w:r w:rsidRPr="00953E2C">
        <w:rPr>
          <w:rFonts w:ascii="Arial" w:hAnsi="Arial" w:cs="Arial"/>
          <w:b w:val="0"/>
          <w:sz w:val="20"/>
          <w:u w:val="none"/>
        </w:rPr>
        <w:t xml:space="preserve"> soud</w:t>
      </w:r>
      <w:r w:rsidRPr="00953E2C">
        <w:rPr>
          <w:rFonts w:ascii="Arial" w:hAnsi="Arial" w:cs="Arial"/>
          <w:b w:val="0"/>
          <w:iCs w:val="0"/>
          <w:sz w:val="20"/>
          <w:u w:val="none"/>
        </w:rPr>
        <w:t>em</w:t>
      </w:r>
      <w:r w:rsidRPr="00953E2C">
        <w:rPr>
          <w:rFonts w:ascii="Arial" w:hAnsi="Arial" w:cs="Arial"/>
          <w:b w:val="0"/>
          <w:sz w:val="20"/>
          <w:u w:val="none"/>
        </w:rPr>
        <w:t xml:space="preserve"> v</w:t>
      </w:r>
      <w:r w:rsidRPr="00953E2C">
        <w:rPr>
          <w:rFonts w:ascii="Arial" w:hAnsi="Arial" w:cs="Arial"/>
          <w:b w:val="0"/>
          <w:iCs w:val="0"/>
          <w:sz w:val="20"/>
          <w:u w:val="none"/>
        </w:rPr>
        <w:t xml:space="preserve">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5" w:name="Text77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5"/>
      <w:r w:rsidRPr="00953E2C">
        <w:rPr>
          <w:rFonts w:ascii="Arial" w:hAnsi="Arial" w:cs="Arial"/>
          <w:b w:val="0"/>
          <w:sz w:val="20"/>
          <w:u w:val="none"/>
        </w:rPr>
        <w:t xml:space="preserve">,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t xml:space="preserve">oddíl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6" w:name="Text78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6"/>
      <w:r w:rsidRPr="00953E2C">
        <w:rPr>
          <w:rFonts w:ascii="Arial" w:hAnsi="Arial" w:cs="Arial"/>
          <w:b w:val="0"/>
          <w:iCs w:val="0"/>
          <w:sz w:val="20"/>
          <w:u w:val="none"/>
        </w:rPr>
        <w:t xml:space="preserve">, vložka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7" w:name="Text79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7"/>
      <w:r w:rsidRPr="00953E2C">
        <w:rPr>
          <w:rFonts w:ascii="Arial" w:hAnsi="Arial" w:cs="Arial"/>
          <w:b w:val="0"/>
          <w:sz w:val="20"/>
          <w:u w:val="none"/>
        </w:rPr>
        <w:t xml:space="preserve"> (dále jen „</w:t>
      </w:r>
      <w:r w:rsidRPr="00953E2C">
        <w:rPr>
          <w:rFonts w:ascii="Arial" w:hAnsi="Arial" w:cs="Arial"/>
          <w:b w:val="0"/>
          <w:bCs/>
          <w:sz w:val="20"/>
          <w:u w:val="none"/>
        </w:rPr>
        <w:t>Distributor</w:t>
      </w:r>
      <w:r w:rsidRPr="00953E2C">
        <w:rPr>
          <w:rFonts w:ascii="Arial" w:hAnsi="Arial" w:cs="Arial"/>
          <w:b w:val="0"/>
          <w:sz w:val="20"/>
          <w:u w:val="none"/>
        </w:rPr>
        <w:t xml:space="preserve">“), která na základě smlouvy o spolupráci uzavřené s Prodávajícím dne 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8" w:name="Text80"/>
      <w:r w:rsidRPr="00953E2C">
        <w:rPr>
          <w:rFonts w:ascii="Arial" w:hAnsi="Arial" w:cs="Arial"/>
          <w:b w:val="0"/>
          <w:iCs w:val="0"/>
          <w:sz w:val="20"/>
          <w:u w:val="none"/>
        </w:rPr>
        <w:instrText xml:space="preserve"> FORMTEXT </w:instrText>
      </w:r>
      <w:r w:rsidRPr="00953E2C">
        <w:rPr>
          <w:rFonts w:ascii="Arial" w:hAnsi="Arial" w:cs="Arial"/>
          <w:b w:val="0"/>
          <w:iCs w:val="0"/>
          <w:sz w:val="20"/>
          <w:u w:val="none"/>
        </w:rPr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separate"/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noProof/>
          <w:sz w:val="20"/>
          <w:u w:val="none"/>
        </w:rPr>
        <w:t> </w:t>
      </w:r>
      <w:r w:rsidRPr="00953E2C">
        <w:rPr>
          <w:rFonts w:ascii="Arial" w:hAnsi="Arial" w:cs="Arial"/>
          <w:b w:val="0"/>
          <w:iCs w:val="0"/>
          <w:sz w:val="20"/>
          <w:u w:val="none"/>
        </w:rPr>
        <w:fldChar w:fldCharType="end"/>
      </w:r>
      <w:bookmarkEnd w:id="18"/>
      <w:r w:rsidRPr="00953E2C">
        <w:rPr>
          <w:rFonts w:ascii="Arial" w:hAnsi="Arial" w:cs="Arial"/>
          <w:b w:val="0"/>
          <w:sz w:val="20"/>
          <w:u w:val="none"/>
        </w:rPr>
        <w:t xml:space="preserve"> zastupuje Prodávajícího při dodávkách léčivých přípravků jako komisionář, a tedy povinnosti, které ve vztahu k dodávkám léčivých přípravků vyplývají z této smlouvy pro Prodávajícího, bude Prodávající plnit prostřednictvím Distributora. Činnost Distributora zahrnuje, podle uvedené smlouvy o spolupráci, zejména přijímání a potvrzování objednávek, dodávání Zboží, vyřizování reklamací ze strany Kupujícího, vystavování faktur a přijímání plateb jménem Distributora na účet Prodávajícího.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20" w:name="_Hlk162434909"/>
      <w:r w:rsidRPr="004F034D">
        <w:rPr>
          <w:rFonts w:ascii="Arial" w:hAnsi="Arial" w:cs="Arial"/>
          <w:szCs w:val="20"/>
        </w:rPr>
        <w:t xml:space="preserve">se </w:t>
      </w:r>
      <w:bookmarkStart w:id="2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</w:t>
      </w:r>
      <w:r w:rsidRPr="004F034D">
        <w:rPr>
          <w:rFonts w:ascii="Arial" w:hAnsi="Arial" w:cs="Arial"/>
          <w:szCs w:val="20"/>
        </w:rPr>
        <w:lastRenderedPageBreak/>
        <w:t>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20"/>
      <w:bookmarkEnd w:id="2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lastRenderedPageBreak/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lastRenderedPageBreak/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2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2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22"/>
      <w:bookmarkEnd w:id="2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</w:t>
      </w:r>
      <w:r w:rsidR="00E67C35" w:rsidRPr="004F034D">
        <w:rPr>
          <w:rFonts w:ascii="Arial" w:hAnsi="Arial" w:cs="Arial"/>
          <w:szCs w:val="20"/>
        </w:rPr>
        <w:lastRenderedPageBreak/>
        <w:t>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>, že Kupující je oprávněn Zboží objednávat a Prodávající je povinen objednané Zboží dodávat Kupujícímu řádně a včas i v případě, že (i) je Zboží opatřením SÚKL 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49AD2B4B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</w:t>
      </w:r>
      <w:r w:rsidRPr="0083390F">
        <w:rPr>
          <w:rFonts w:ascii="Arial" w:hAnsi="Arial" w:cs="Arial"/>
          <w:szCs w:val="20"/>
        </w:rPr>
        <w:t xml:space="preserve">podpisu </w:t>
      </w:r>
      <w:r w:rsidR="00A04511" w:rsidRPr="0083390F">
        <w:rPr>
          <w:rFonts w:ascii="Arial" w:hAnsi="Arial" w:cs="Arial"/>
          <w:szCs w:val="20"/>
        </w:rPr>
        <w:t>smluvními stranami</w:t>
      </w:r>
      <w:r w:rsidR="00472593" w:rsidRPr="0083390F">
        <w:rPr>
          <w:rFonts w:ascii="Arial" w:hAnsi="Arial" w:cs="Arial"/>
          <w:szCs w:val="20"/>
        </w:rPr>
        <w:t>, pokud zákon nestanoví den pozdější</w:t>
      </w:r>
      <w:r w:rsidR="00A04511" w:rsidRPr="0083390F">
        <w:rPr>
          <w:rFonts w:ascii="Arial" w:hAnsi="Arial" w:cs="Arial"/>
          <w:szCs w:val="20"/>
        </w:rPr>
        <w:t xml:space="preserve">. </w:t>
      </w:r>
      <w:r w:rsidR="00513628" w:rsidRPr="0083390F">
        <w:rPr>
          <w:rFonts w:ascii="Arial" w:hAnsi="Arial" w:cs="Arial"/>
          <w:szCs w:val="20"/>
        </w:rPr>
        <w:t>Smlouva se u</w:t>
      </w:r>
      <w:r w:rsidRPr="0083390F">
        <w:rPr>
          <w:rFonts w:ascii="Arial" w:hAnsi="Arial" w:cs="Arial"/>
          <w:szCs w:val="20"/>
        </w:rPr>
        <w:t>zavírá</w:t>
      </w:r>
      <w:r w:rsidR="00A04511" w:rsidRPr="0083390F">
        <w:rPr>
          <w:rFonts w:ascii="Arial" w:hAnsi="Arial" w:cs="Arial"/>
          <w:szCs w:val="20"/>
        </w:rPr>
        <w:t xml:space="preserve"> </w:t>
      </w:r>
      <w:r w:rsidRPr="0083390F">
        <w:rPr>
          <w:rFonts w:ascii="Arial" w:hAnsi="Arial" w:cs="Arial"/>
          <w:szCs w:val="20"/>
        </w:rPr>
        <w:t xml:space="preserve">na dobu </w:t>
      </w:r>
      <w:r w:rsidR="00BA6C82" w:rsidRPr="0083390F">
        <w:rPr>
          <w:rFonts w:ascii="Arial" w:hAnsi="Arial" w:cs="Arial"/>
          <w:szCs w:val="20"/>
        </w:rPr>
        <w:t>určitou</w:t>
      </w:r>
      <w:r w:rsidR="00DD2711" w:rsidRPr="0083390F">
        <w:rPr>
          <w:rFonts w:ascii="Arial" w:hAnsi="Arial" w:cs="Arial"/>
          <w:szCs w:val="20"/>
        </w:rPr>
        <w:t xml:space="preserve"> </w:t>
      </w:r>
      <w:r w:rsidR="00A72BA1" w:rsidRPr="0083390F">
        <w:rPr>
          <w:rFonts w:ascii="Arial" w:hAnsi="Arial" w:cs="Arial"/>
          <w:szCs w:val="20"/>
        </w:rPr>
        <w:t>tj.</w:t>
      </w:r>
      <w:r w:rsidR="00420284" w:rsidRPr="0083390F">
        <w:rPr>
          <w:rFonts w:ascii="Arial" w:hAnsi="Arial" w:cs="Arial"/>
          <w:szCs w:val="20"/>
        </w:rPr>
        <w:t xml:space="preserve"> </w:t>
      </w:r>
      <w:r w:rsidR="0083390F" w:rsidRPr="0083390F">
        <w:rPr>
          <w:rFonts w:ascii="Arial" w:hAnsi="Arial" w:cs="Arial"/>
          <w:b/>
          <w:szCs w:val="20"/>
        </w:rPr>
        <w:t>48</w:t>
      </w:r>
      <w:r w:rsidR="006C19AD" w:rsidRPr="0083390F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</w:t>
      </w:r>
      <w:r w:rsidRPr="00F229D2">
        <w:rPr>
          <w:rFonts w:ascii="Arial" w:hAnsi="Arial" w:cs="Arial"/>
          <w:szCs w:val="20"/>
        </w:rPr>
        <w:lastRenderedPageBreak/>
        <w:t>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2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2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lastRenderedPageBreak/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</w:t>
      </w:r>
      <w:r w:rsidRPr="00EB2822">
        <w:rPr>
          <w:rFonts w:ascii="Arial" w:hAnsi="Arial" w:cs="Arial"/>
          <w:szCs w:val="20"/>
        </w:rPr>
        <w:lastRenderedPageBreak/>
        <w:t xml:space="preserve">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</w:t>
      </w:r>
      <w:r w:rsidRPr="00556E39">
        <w:rPr>
          <w:rFonts w:ascii="Arial" w:hAnsi="Arial" w:cs="Arial"/>
          <w:szCs w:val="20"/>
        </w:rPr>
        <w:lastRenderedPageBreak/>
        <w:t>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2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2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 xml:space="preserve">, účinné nebo </w:t>
      </w:r>
      <w:r w:rsidR="00D75F2F" w:rsidRPr="004F034D">
        <w:rPr>
          <w:rFonts w:ascii="Arial" w:hAnsi="Arial" w:cs="Arial"/>
          <w:szCs w:val="20"/>
        </w:rPr>
        <w:lastRenderedPageBreak/>
        <w:t>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26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26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7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7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62794379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A53B48">
        <w:rPr>
          <w:rFonts w:ascii="Arial" w:hAnsi="Arial" w:cs="Arial"/>
          <w:szCs w:val="20"/>
        </w:rPr>
        <w:t>21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4D4C3786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9136361" w14:textId="77777777" w:rsidR="0083390F" w:rsidRDefault="0083390F" w:rsidP="0083390F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F442E72" w14:textId="77777777" w:rsidR="000435A2" w:rsidRDefault="000435A2" w:rsidP="0083390F">
      <w:pPr>
        <w:spacing w:line="276" w:lineRule="auto"/>
        <w:jc w:val="center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FABBDF7" w14:textId="77777777" w:rsidR="0083390F" w:rsidRDefault="0083390F" w:rsidP="0083390F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EE3C674" w14:textId="676410E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4E96A14" w14:textId="77777777" w:rsidR="0083390F" w:rsidRDefault="0083390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50F5239D" w14:textId="77777777" w:rsidR="0083390F" w:rsidRDefault="0083390F" w:rsidP="0083390F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D3E5369" w14:textId="5AA3976D" w:rsidR="005D475F" w:rsidRPr="000435A2" w:rsidRDefault="005D475F" w:rsidP="0083390F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2273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90F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3B48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474F-DAED-4171-B416-04FE62199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0CF07-1873-4E21-AA1D-0DAD378B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9000</Words>
  <Characters>53104</Characters>
  <Application>Microsoft Office Word</Application>
  <DocSecurity>0</DocSecurity>
  <Lines>442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9</cp:revision>
  <cp:lastPrinted>2024-08-26T08:58:00Z</cp:lastPrinted>
  <dcterms:created xsi:type="dcterms:W3CDTF">2025-07-29T07:13:00Z</dcterms:created>
  <dcterms:modified xsi:type="dcterms:W3CDTF">2026-03-27T12:20:00Z</dcterms:modified>
</cp:coreProperties>
</file>