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FBD1" w14:textId="222703B7" w:rsidR="00CB2C08" w:rsidRDefault="00CB2C08" w:rsidP="00CB2C08">
      <w:pPr>
        <w:jc w:val="right"/>
      </w:pPr>
      <w:bookmarkStart w:id="0" w:name="_Hlk532208167"/>
      <w:r>
        <w:t xml:space="preserve">Příloha č. 3 </w:t>
      </w:r>
      <w:r w:rsidR="00D02F36">
        <w:t>zadávací dokumentace, č. 1 Smlouvy</w:t>
      </w:r>
      <w:bookmarkStart w:id="1" w:name="_GoBack"/>
      <w:bookmarkEnd w:id="1"/>
    </w:p>
    <w:p w14:paraId="027B4F3D" w14:textId="309A34A9" w:rsidR="00E96598" w:rsidRPr="00E96598" w:rsidRDefault="00E96598" w:rsidP="00E965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Technická specifikace vč. cenového souhrnu</w:t>
      </w:r>
    </w:p>
    <w:p w14:paraId="50495B4D" w14:textId="01B566FC" w:rsidR="00CB2C08" w:rsidRPr="00FF2D4E" w:rsidRDefault="0025309D" w:rsidP="00CB2C08">
      <w:pPr>
        <w:jc w:val="center"/>
        <w:rPr>
          <w:b/>
          <w:sz w:val="48"/>
          <w:szCs w:val="48"/>
        </w:rPr>
      </w:pPr>
      <w:r w:rsidRPr="00E96598">
        <w:rPr>
          <w:b/>
          <w:sz w:val="24"/>
          <w:szCs w:val="24"/>
        </w:rPr>
        <w:t xml:space="preserve">Dodávka </w:t>
      </w:r>
      <w:r w:rsidR="00DB5A80" w:rsidRPr="00E96598">
        <w:rPr>
          <w:b/>
          <w:sz w:val="24"/>
          <w:szCs w:val="24"/>
        </w:rPr>
        <w:t>diskov</w:t>
      </w:r>
      <w:r w:rsidR="00DD42D3" w:rsidRPr="00E96598">
        <w:rPr>
          <w:b/>
          <w:sz w:val="24"/>
          <w:szCs w:val="24"/>
        </w:rPr>
        <w:t>ého pole pro datové centrum</w:t>
      </w:r>
      <w:r w:rsidR="00FE41B7" w:rsidRPr="00E96598">
        <w:rPr>
          <w:b/>
          <w:sz w:val="24"/>
          <w:szCs w:val="24"/>
        </w:rPr>
        <w:t xml:space="preserve"> Nemocnic</w:t>
      </w:r>
      <w:r w:rsidRPr="00E96598">
        <w:rPr>
          <w:b/>
          <w:sz w:val="24"/>
          <w:szCs w:val="24"/>
        </w:rPr>
        <w:t>e</w:t>
      </w:r>
      <w:r w:rsidR="00FE41B7" w:rsidRPr="00E96598">
        <w:rPr>
          <w:b/>
          <w:sz w:val="24"/>
          <w:szCs w:val="24"/>
        </w:rPr>
        <w:t xml:space="preserve"> Tábor, a.s.</w:t>
      </w:r>
      <w:r w:rsidR="00FE41B7" w:rsidRPr="00FF2D4E">
        <w:rPr>
          <w:b/>
          <w:sz w:val="48"/>
          <w:szCs w:val="48"/>
        </w:rPr>
        <w:t xml:space="preserve">  </w:t>
      </w:r>
    </w:p>
    <w:p w14:paraId="11A708CA" w14:textId="7EA9B05C" w:rsidR="00E96598" w:rsidRPr="00E96598" w:rsidRDefault="00E96598" w:rsidP="00E96598">
      <w:pPr>
        <w:jc w:val="both"/>
      </w:pPr>
      <w:r w:rsidRPr="00E96598">
        <w:t xml:space="preserve">Účastník v technické specifikaci vyplní ve sloupci „Požadovaná technická specifikace splněna ANO/ NE“ ANO (splňuje) nebo NE (nesplňuje). Účastník do sloupce „Nabízený produkt, funkce, parametr, poznámka“ uvede nezaměnitelné označení konkrétního produktu (zejména označení názvu včetně typového označení, pokud ho zařízení má), dále účastník v tomto sloupci uvede konkrétní parametr/ hodnotu (velikost, kapacita, rychlost apod.) tak, aby bylo patrné, že nabízený produkt splňuje parametry požadované Zadavatelem a k nabídce přiloží </w:t>
      </w:r>
      <w:r w:rsidR="00923621">
        <w:t xml:space="preserve">detailní produktové listy nebo dokumentaci (např. </w:t>
      </w:r>
      <w:r w:rsidRPr="00E96598">
        <w:t>„</w:t>
      </w:r>
      <w:proofErr w:type="spellStart"/>
      <w:r w:rsidRPr="00E96598">
        <w:t>datasheet</w:t>
      </w:r>
      <w:proofErr w:type="spellEnd"/>
      <w:r w:rsidRPr="00E96598">
        <w:t>“ výrobce</w:t>
      </w:r>
      <w:r w:rsidR="00923621">
        <w:t>) v českém nebo anglickém jazyce,</w:t>
      </w:r>
      <w:r w:rsidRPr="00E96598">
        <w:t xml:space="preserve"> ze kter</w:t>
      </w:r>
      <w:r w:rsidR="00923621">
        <w:t>ých</w:t>
      </w:r>
      <w:r w:rsidRPr="00E96598">
        <w:t xml:space="preserve"> je možno uváděné vlastnosti/parametry ověřit. Zadavatel, níže v tabulce vymezuje buď konkrétní parametr, který musí být plněn s danou hodnotou nebo jinou charakteristikou, nebo vymezuje určitý parametr s minimální nebo maximální hodnotou, kterou nemůže účastník překročit/ podkročit, účastník musí uvést konkrétní hodnotu, kterou má nabízený produkt. V případě potřeby účastník do sloupce uvede také poznámku k technické specifikaci. </w:t>
      </w:r>
    </w:p>
    <w:p w14:paraId="3827CA99" w14:textId="5008EA00" w:rsidR="00641764" w:rsidRPr="00E96598" w:rsidRDefault="00E96598" w:rsidP="00E96598">
      <w:pPr>
        <w:jc w:val="both"/>
      </w:pPr>
      <w:r w:rsidRPr="00E96598">
        <w:t>Účastník vyplní všechny požadované údaje v cenovém souhrnu.</w:t>
      </w:r>
    </w:p>
    <w:p w14:paraId="1EB6E891" w14:textId="77777777" w:rsidR="009422E3" w:rsidRPr="00641764" w:rsidRDefault="009422E3" w:rsidP="009422E3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Stávající stav</w:t>
      </w:r>
      <w:r w:rsidRPr="00641764"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:</w:t>
      </w:r>
    </w:p>
    <w:p w14:paraId="6A04C4D6" w14:textId="3DA37519" w:rsidR="009422E3" w:rsidRDefault="009422E3" w:rsidP="009422E3">
      <w:pPr>
        <w:jc w:val="both"/>
      </w:pPr>
      <w:r w:rsidRPr="00FA39DB">
        <w:t xml:space="preserve">V současné době </w:t>
      </w:r>
      <w:r>
        <w:t>provozuje Nemocnice Tábor, a.s. jedno diskové pole o čisté kapacitě 35TB</w:t>
      </w:r>
      <w:r w:rsidR="00BA2FBD">
        <w:t>,</w:t>
      </w:r>
      <w:r>
        <w:t xml:space="preserve"> připojené přes FC</w:t>
      </w:r>
      <w:r w:rsidR="00BA2FBD">
        <w:t>,</w:t>
      </w:r>
      <w:r>
        <w:t xml:space="preserve"> napojené na 3 servery zapojené v Hyper-V clusteru.</w:t>
      </w:r>
      <w:r w:rsidR="00E3014E">
        <w:t xml:space="preserve"> Na diskovém poli jsou ukládána souborová data, databázová data aplikací, obrazy virtuální serverů.  </w:t>
      </w:r>
    </w:p>
    <w:p w14:paraId="5881FC45" w14:textId="77777777" w:rsidR="00E96598" w:rsidRDefault="00E96598" w:rsidP="00CB2C08">
      <w:pPr>
        <w:jc w:val="both"/>
      </w:pPr>
    </w:p>
    <w:p w14:paraId="5C3314CA" w14:textId="77777777" w:rsidR="00E96598" w:rsidRDefault="00E96598" w:rsidP="00CB2C08">
      <w:pPr>
        <w:jc w:val="both"/>
      </w:pPr>
    </w:p>
    <w:p w14:paraId="65A899D8" w14:textId="77777777" w:rsidR="00E96598" w:rsidRDefault="00E96598" w:rsidP="00CB2C08">
      <w:pPr>
        <w:jc w:val="both"/>
      </w:pPr>
    </w:p>
    <w:p w14:paraId="243C0994" w14:textId="77777777" w:rsidR="00E96598" w:rsidRDefault="00E96598" w:rsidP="00CB2C08">
      <w:pPr>
        <w:jc w:val="both"/>
      </w:pPr>
    </w:p>
    <w:p w14:paraId="22379B74" w14:textId="77777777" w:rsidR="00E96598" w:rsidRDefault="00E96598" w:rsidP="00CB2C08">
      <w:pPr>
        <w:jc w:val="both"/>
      </w:pPr>
    </w:p>
    <w:p w14:paraId="008C21EE" w14:textId="77777777" w:rsidR="00E96598" w:rsidRDefault="00E96598" w:rsidP="00CB2C08">
      <w:pPr>
        <w:jc w:val="both"/>
      </w:pPr>
    </w:p>
    <w:p w14:paraId="2BEAAFBD" w14:textId="77777777" w:rsidR="00E96598" w:rsidRDefault="00E96598" w:rsidP="00CB2C08">
      <w:pPr>
        <w:jc w:val="both"/>
      </w:pPr>
    </w:p>
    <w:p w14:paraId="655CAFDF" w14:textId="77777777" w:rsidR="00E96598" w:rsidRDefault="00E96598" w:rsidP="00CB2C08">
      <w:pPr>
        <w:jc w:val="both"/>
      </w:pPr>
    </w:p>
    <w:p w14:paraId="71598655" w14:textId="77777777" w:rsidR="00E96598" w:rsidRDefault="00E96598" w:rsidP="00CB2C08">
      <w:pPr>
        <w:jc w:val="both"/>
      </w:pPr>
    </w:p>
    <w:p w14:paraId="55CCC084" w14:textId="77777777" w:rsidR="00E96598" w:rsidRDefault="00E96598" w:rsidP="00CB2C08">
      <w:pPr>
        <w:jc w:val="both"/>
      </w:pPr>
    </w:p>
    <w:p w14:paraId="1828FAFF" w14:textId="77777777" w:rsidR="00E96598" w:rsidRDefault="00E96598" w:rsidP="00CB2C08">
      <w:pPr>
        <w:jc w:val="both"/>
      </w:pPr>
    </w:p>
    <w:p w14:paraId="4960DDD6" w14:textId="77777777" w:rsidR="00E96598" w:rsidRDefault="00E96598" w:rsidP="00CB2C08">
      <w:pPr>
        <w:jc w:val="both"/>
      </w:pPr>
    </w:p>
    <w:p w14:paraId="2A6FF413" w14:textId="77777777" w:rsidR="00E96598" w:rsidRDefault="00E96598" w:rsidP="00CB2C08">
      <w:pPr>
        <w:jc w:val="both"/>
      </w:pPr>
    </w:p>
    <w:p w14:paraId="48FD4C93" w14:textId="77777777" w:rsidR="00E96598" w:rsidRDefault="00E96598" w:rsidP="00CB2C08">
      <w:pPr>
        <w:jc w:val="both"/>
      </w:pPr>
    </w:p>
    <w:p w14:paraId="295AF73B" w14:textId="77777777" w:rsidR="00E96598" w:rsidRDefault="00E96598" w:rsidP="00CB2C08">
      <w:pPr>
        <w:jc w:val="both"/>
      </w:pPr>
    </w:p>
    <w:p w14:paraId="107EF3B7" w14:textId="77777777" w:rsidR="00E96598" w:rsidRDefault="00E96598" w:rsidP="00CB2C08">
      <w:pPr>
        <w:jc w:val="both"/>
      </w:pPr>
    </w:p>
    <w:p w14:paraId="65D4A94C" w14:textId="77777777" w:rsidR="00E96598" w:rsidRDefault="00E96598" w:rsidP="00CB2C08">
      <w:pPr>
        <w:jc w:val="both"/>
      </w:pPr>
    </w:p>
    <w:p w14:paraId="1A5E48EE" w14:textId="77777777" w:rsidR="00E96598" w:rsidRDefault="00E96598" w:rsidP="00CB2C08">
      <w:pPr>
        <w:jc w:val="both"/>
      </w:pPr>
    </w:p>
    <w:p w14:paraId="3A5BA0D1" w14:textId="2A6FB422" w:rsidR="00357917" w:rsidRDefault="00357917" w:rsidP="00CB2C08">
      <w:pPr>
        <w:jc w:val="both"/>
      </w:pPr>
      <w:r>
        <w:lastRenderedPageBreak/>
        <w:t>Schéma stávajícího stavu:</w:t>
      </w:r>
    </w:p>
    <w:p w14:paraId="421143D4" w14:textId="41E8640B" w:rsidR="00357917" w:rsidRDefault="00E3014E" w:rsidP="00BA2FBD">
      <w:pPr>
        <w:jc w:val="center"/>
      </w:pPr>
      <w:r>
        <w:rPr>
          <w:noProof/>
          <w:lang w:eastAsia="cs-CZ"/>
        </w:rPr>
        <w:drawing>
          <wp:inline distT="0" distB="0" distL="0" distR="0" wp14:anchorId="37D8CD63" wp14:editId="1BA88257">
            <wp:extent cx="4231005" cy="491690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20" cy="495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F318B" w14:textId="77777777" w:rsidR="0057789B" w:rsidRPr="00F17496" w:rsidRDefault="0057789B" w:rsidP="0057789B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</w:pPr>
      <w:r w:rsidRPr="00F17496"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Nevýhody stávajícího stavu:</w:t>
      </w:r>
    </w:p>
    <w:p w14:paraId="7CAC97E1" w14:textId="140D4926" w:rsidR="0057789B" w:rsidRDefault="0057789B" w:rsidP="0057789B">
      <w:pPr>
        <w:jc w:val="both"/>
      </w:pPr>
      <w:r w:rsidRPr="00F17496">
        <w:t>Diskové pole je na konci svého životního cyklu. V nemocnici bylo nepřetržitě provozováno od roku 2019. Diskové pole je pouze jedno, není zajištěna vysoká dostupnost. Dochází disková kapacita pole.</w:t>
      </w:r>
    </w:p>
    <w:p w14:paraId="344AEF2F" w14:textId="1BFABEAC" w:rsidR="007802CC" w:rsidRDefault="007802CC" w:rsidP="0057789B">
      <w:pPr>
        <w:jc w:val="both"/>
      </w:pPr>
    </w:p>
    <w:p w14:paraId="78C7ABF5" w14:textId="5D768D32" w:rsidR="006C1FF9" w:rsidRPr="00F17496" w:rsidRDefault="0057789B" w:rsidP="00641764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</w:pPr>
      <w:r w:rsidRPr="00F17496"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Cílový stav</w:t>
      </w:r>
      <w:r w:rsidR="006C1FF9" w:rsidRPr="00F17496"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  <w:t>:</w:t>
      </w:r>
    </w:p>
    <w:p w14:paraId="7BB74F4C" w14:textId="7555A847" w:rsidR="00C25BEF" w:rsidRPr="00C25BEF" w:rsidRDefault="00E3014E" w:rsidP="00C25BEF">
      <w:pPr>
        <w:jc w:val="both"/>
      </w:pPr>
      <w:r w:rsidRPr="00F17496">
        <w:t xml:space="preserve">Cílem projektu je </w:t>
      </w:r>
      <w:r w:rsidR="004F494B" w:rsidRPr="00F17496">
        <w:t xml:space="preserve">výměna </w:t>
      </w:r>
      <w:r w:rsidRPr="00F17496">
        <w:t xml:space="preserve">stávajícího dosluhujícího diskového pole za </w:t>
      </w:r>
      <w:r w:rsidR="00C909D7" w:rsidRPr="00F17496">
        <w:t>dvě nová</w:t>
      </w:r>
      <w:r w:rsidRPr="00F17496">
        <w:t xml:space="preserve"> ve vysoké dostup</w:t>
      </w:r>
      <w:r w:rsidR="00C25BEF" w:rsidRPr="00F17496">
        <w:t>nosti</w:t>
      </w:r>
      <w:r w:rsidR="00BA2FBD" w:rsidRPr="00F17496">
        <w:t xml:space="preserve">. </w:t>
      </w:r>
      <w:r w:rsidR="008C6786" w:rsidRPr="00F17496">
        <w:t xml:space="preserve">Záměrem </w:t>
      </w:r>
      <w:r w:rsidR="00C25BEF" w:rsidRPr="00F17496">
        <w:t xml:space="preserve">je implementovat redundantní SAN infrastrukturu a nový diskový prostor do stávajícího prostředí. SAN infrastruktura je požadována v podobě dvou FC </w:t>
      </w:r>
      <w:proofErr w:type="spellStart"/>
      <w:r w:rsidR="00C25BEF" w:rsidRPr="00F17496">
        <w:t>switchů</w:t>
      </w:r>
      <w:proofErr w:type="spellEnd"/>
      <w:r w:rsidR="00C25BEF" w:rsidRPr="00F17496">
        <w:t xml:space="preserve">, do kterých se přepojí stávající servery a dvě nová disková pole realizovaná ve vysoké dostupnosti. HA je požadována v režimu </w:t>
      </w:r>
      <w:proofErr w:type="spellStart"/>
      <w:r w:rsidR="00C25BEF" w:rsidRPr="00F17496">
        <w:t>Active-Active</w:t>
      </w:r>
      <w:proofErr w:type="spellEnd"/>
      <w:r w:rsidR="00C25BEF" w:rsidRPr="00F17496">
        <w:t xml:space="preserve">, kdy v případech selhání počítáme s využitím svědka (možné realizovat přes IP). Replikační linky mezi poli budou realizovány přímým zapojením. Původní diskové pole bude po migraci dat odstaveno z provozu (případně připojeno pro testování pomocí volných FC portů ve </w:t>
      </w:r>
      <w:proofErr w:type="spellStart"/>
      <w:r w:rsidR="00C25BEF" w:rsidRPr="00F17496">
        <w:t>switchích</w:t>
      </w:r>
      <w:proofErr w:type="spellEnd"/>
      <w:r w:rsidR="00C25BEF" w:rsidRPr="00F17496">
        <w:t xml:space="preserve">). SAN infrastruktura, bude </w:t>
      </w:r>
      <w:proofErr w:type="gramStart"/>
      <w:r w:rsidR="00C25BEF" w:rsidRPr="00F17496">
        <w:t>připravena</w:t>
      </w:r>
      <w:proofErr w:type="gramEnd"/>
      <w:r w:rsidR="00C25BEF" w:rsidRPr="00F17496">
        <w:t xml:space="preserve"> na připojení druhé lokality pomocí single </w:t>
      </w:r>
      <w:proofErr w:type="gramStart"/>
      <w:r w:rsidR="00C25BEF" w:rsidRPr="00F17496">
        <w:t>mode</w:t>
      </w:r>
      <w:proofErr w:type="gramEnd"/>
      <w:r w:rsidR="00C25BEF" w:rsidRPr="00F17496">
        <w:t xml:space="preserve"> trasy (vzdálenost do 1km).</w:t>
      </w:r>
    </w:p>
    <w:p w14:paraId="195F7AA6" w14:textId="7D717B63" w:rsidR="00C25BEF" w:rsidRDefault="00C25BEF" w:rsidP="000A0134">
      <w:pPr>
        <w:jc w:val="both"/>
      </w:pPr>
    </w:p>
    <w:p w14:paraId="059779EF" w14:textId="1F2D67C5" w:rsidR="00E96598" w:rsidRDefault="00E96598" w:rsidP="000A0134">
      <w:pPr>
        <w:jc w:val="both"/>
      </w:pPr>
    </w:p>
    <w:p w14:paraId="2BF2AEE9" w14:textId="182CD8EB" w:rsidR="00E96598" w:rsidRDefault="00E96598" w:rsidP="000A0134">
      <w:pPr>
        <w:jc w:val="both"/>
      </w:pPr>
    </w:p>
    <w:p w14:paraId="0B8A72A9" w14:textId="595D7537" w:rsidR="00E96598" w:rsidRDefault="00E96598" w:rsidP="000A0134">
      <w:pPr>
        <w:jc w:val="both"/>
      </w:pPr>
    </w:p>
    <w:p w14:paraId="7166A52E" w14:textId="7225A6AC" w:rsidR="00E96598" w:rsidRDefault="00E96598" w:rsidP="000A0134">
      <w:pPr>
        <w:jc w:val="both"/>
      </w:pPr>
    </w:p>
    <w:p w14:paraId="2978107E" w14:textId="7E1D7CEC" w:rsidR="00F17496" w:rsidRDefault="00F17496" w:rsidP="000A0134">
      <w:pPr>
        <w:jc w:val="both"/>
      </w:pPr>
    </w:p>
    <w:p w14:paraId="4C4E710E" w14:textId="77777777" w:rsidR="00F17496" w:rsidRDefault="00F17496" w:rsidP="000A0134">
      <w:pPr>
        <w:jc w:val="both"/>
      </w:pPr>
    </w:p>
    <w:p w14:paraId="402B8B63" w14:textId="77777777" w:rsidR="0057789B" w:rsidRDefault="0057789B" w:rsidP="0057789B">
      <w:pPr>
        <w:jc w:val="both"/>
      </w:pPr>
      <w:r>
        <w:t>Schéma pro cílový stav</w:t>
      </w:r>
    </w:p>
    <w:p w14:paraId="5A9CC621" w14:textId="2130C5AD" w:rsidR="0057789B" w:rsidRPr="00FA39DB" w:rsidRDefault="00C25BEF" w:rsidP="00BA2FBD">
      <w:pPr>
        <w:jc w:val="center"/>
      </w:pPr>
      <w:r>
        <w:rPr>
          <w:rFonts w:ascii="-webkit-standard" w:eastAsia="Times New Roman" w:hAnsi="-webkit-standard" w:cs="Times New Roman"/>
          <w:noProof/>
          <w:color w:val="000000"/>
          <w:sz w:val="18"/>
          <w:szCs w:val="18"/>
          <w:lang w:eastAsia="cs-CZ"/>
        </w:rPr>
        <w:drawing>
          <wp:inline distT="0" distB="0" distL="0" distR="0" wp14:anchorId="671C45C4" wp14:editId="147B15A8">
            <wp:extent cx="5364632" cy="5814644"/>
            <wp:effectExtent l="0" t="0" r="7620" b="0"/>
            <wp:docPr id="5464360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459" cy="58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066F5" w14:textId="77777777" w:rsidR="006D5423" w:rsidRDefault="006D5423" w:rsidP="006D5423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  <w:u w:val="single"/>
        </w:rPr>
      </w:pPr>
    </w:p>
    <w:p w14:paraId="7F4374F8" w14:textId="77777777" w:rsidR="005E6DD5" w:rsidRDefault="005E6DD5" w:rsidP="0057789B">
      <w:pPr>
        <w:jc w:val="both"/>
        <w:rPr>
          <w:b/>
          <w:sz w:val="44"/>
          <w:szCs w:val="44"/>
        </w:rPr>
      </w:pPr>
    </w:p>
    <w:p w14:paraId="2947CFC1" w14:textId="42F9EA1E" w:rsidR="006D5423" w:rsidRDefault="006D5423" w:rsidP="0057789B">
      <w:pPr>
        <w:jc w:val="both"/>
        <w:rPr>
          <w:b/>
          <w:sz w:val="44"/>
          <w:szCs w:val="44"/>
        </w:rPr>
      </w:pPr>
    </w:p>
    <w:p w14:paraId="3EF6ED24" w14:textId="2660131E" w:rsidR="006D5423" w:rsidRDefault="006D5423" w:rsidP="0057789B">
      <w:pPr>
        <w:jc w:val="both"/>
        <w:rPr>
          <w:b/>
          <w:sz w:val="44"/>
          <w:szCs w:val="44"/>
        </w:rPr>
      </w:pPr>
    </w:p>
    <w:p w14:paraId="4ECA1FAB" w14:textId="3B2DBEAF" w:rsidR="00F17496" w:rsidRDefault="00F17496" w:rsidP="0057789B">
      <w:pPr>
        <w:jc w:val="both"/>
        <w:rPr>
          <w:b/>
          <w:sz w:val="44"/>
          <w:szCs w:val="44"/>
        </w:rPr>
      </w:pPr>
    </w:p>
    <w:p w14:paraId="64F91810" w14:textId="431D0B82" w:rsidR="00F17496" w:rsidRDefault="00F17496" w:rsidP="0057789B">
      <w:pPr>
        <w:jc w:val="both"/>
        <w:rPr>
          <w:b/>
          <w:sz w:val="44"/>
          <w:szCs w:val="44"/>
        </w:rPr>
      </w:pPr>
    </w:p>
    <w:p w14:paraId="4C4F5111" w14:textId="77777777" w:rsidR="00F17496" w:rsidRDefault="00F17496" w:rsidP="0057789B">
      <w:pPr>
        <w:jc w:val="both"/>
        <w:rPr>
          <w:b/>
          <w:sz w:val="44"/>
          <w:szCs w:val="44"/>
        </w:rPr>
      </w:pPr>
    </w:p>
    <w:p w14:paraId="580A430E" w14:textId="78CAF593" w:rsidR="00A90269" w:rsidRPr="005F61C1" w:rsidRDefault="000A0134" w:rsidP="00CB2C08">
      <w:pPr>
        <w:pStyle w:val="Nadpis1"/>
        <w:rPr>
          <w:b/>
          <w:sz w:val="44"/>
          <w:szCs w:val="44"/>
        </w:rPr>
      </w:pPr>
      <w:r w:rsidRPr="005F61C1">
        <w:rPr>
          <w:b/>
          <w:sz w:val="44"/>
          <w:szCs w:val="44"/>
        </w:rPr>
        <w:lastRenderedPageBreak/>
        <w:t xml:space="preserve">2x </w:t>
      </w:r>
      <w:bookmarkEnd w:id="0"/>
      <w:r w:rsidR="00DB5A80">
        <w:rPr>
          <w:b/>
          <w:sz w:val="44"/>
          <w:szCs w:val="44"/>
        </w:rPr>
        <w:t>Diskové pole</w:t>
      </w:r>
    </w:p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1532"/>
        <w:gridCol w:w="5607"/>
        <w:gridCol w:w="1324"/>
        <w:gridCol w:w="2595"/>
      </w:tblGrid>
      <w:tr w:rsidR="00D053E2" w14:paraId="093803D3" w14:textId="77777777" w:rsidTr="00F17496"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C9575" w14:textId="403C8D90" w:rsidR="0037234B" w:rsidRDefault="0037234B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Minimální technické požadavky na hardware a software, které zadavatel požaduje</w:t>
            </w:r>
            <w:r w:rsidR="00744A51">
              <w:rPr>
                <w:rFonts w:ascii="Calibri" w:hAnsi="Calibri" w:cs="Calibri"/>
                <w:b/>
                <w:bCs/>
                <w:color w:val="000000"/>
              </w:rPr>
              <w:t xml:space="preserve"> pro jedno diskové pole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  <w:p w14:paraId="5BCA2FD5" w14:textId="4017A688" w:rsidR="00D053E2" w:rsidRDefault="00D053E2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99E4A7" w14:textId="77777777" w:rsidR="00D053E2" w:rsidRDefault="00D053E2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Požadovaná technická specifikace splněna ANO/ NE</w:t>
            </w:r>
          </w:p>
          <w:p w14:paraId="08E5D88D" w14:textId="77777777" w:rsidR="00D053E2" w:rsidRDefault="00D053E2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B152B1" w14:textId="6625C260" w:rsidR="00D053E2" w:rsidRDefault="00D053E2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Nabízený produkt,</w:t>
            </w:r>
            <w:r w:rsidR="00A25B53">
              <w:rPr>
                <w:rFonts w:ascii="Calibri" w:hAnsi="Calibri" w:cs="Calibri"/>
                <w:b/>
                <w:bCs/>
                <w:color w:val="000000"/>
              </w:rPr>
              <w:t xml:space="preserve"> funkce, parametr,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poznámka</w:t>
            </w:r>
          </w:p>
          <w:p w14:paraId="51BE365A" w14:textId="77777777" w:rsidR="00D053E2" w:rsidRDefault="00D053E2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5A80" w14:paraId="37DA64F3" w14:textId="77777777" w:rsidTr="0057789B">
        <w:trPr>
          <w:trHeight w:val="841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D4A" w14:textId="2D2B9E05" w:rsidR="00DB5A80" w:rsidRPr="00B21786" w:rsidRDefault="00DB5A80" w:rsidP="00DB5A80">
            <w:pPr>
              <w:pStyle w:val="Nadpis4"/>
              <w:spacing w:line="276" w:lineRule="auto"/>
              <w:outlineLvl w:val="3"/>
              <w:rPr>
                <w:rFonts w:ascii="Calibri" w:hAnsi="Calibri" w:cs="Calibri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Architektura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259" w14:textId="7D59F490" w:rsidR="00DB5A80" w:rsidRPr="00706F2B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modulární, minimálně dvou řadičové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all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flash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diskové pole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active-active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designu založené na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NVMe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architektuře, řešení je koncipováno jako HW, SW a FW od jednoho výrobce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9AA83B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34A63F" w14:textId="77777777" w:rsidR="00DB5A80" w:rsidRDefault="00DB5A80" w:rsidP="00DB5A80"/>
        </w:tc>
      </w:tr>
      <w:tr w:rsidR="00DB5A80" w14:paraId="65FB4FF5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6281" w14:textId="77777777" w:rsidR="00DB5A80" w:rsidRPr="004C2681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Výkonnost</w:t>
            </w:r>
          </w:p>
          <w:p w14:paraId="44F7630F" w14:textId="3090DF12" w:rsidR="00DB5A80" w:rsidRPr="00DB5A80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B0D3" w14:textId="517D352E" w:rsidR="00DB5A80" w:rsidRPr="00706F2B" w:rsidRDefault="00DB5A80" w:rsidP="003E3E2F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škálování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výkonnosti nativním přidáváním dalších řadičů minimálně do osmi řadičové konfigurace a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škálování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kapacit pomocí expanzních jednotek.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Škálování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řadičů ani expanzních jednotek není povoleno řešit pomocí externí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virtualizace</w:t>
            </w:r>
            <w:proofErr w:type="spellEnd"/>
            <w:r w:rsidR="00BE62B3">
              <w:rPr>
                <w:rFonts w:ascii="Arial" w:eastAsia="Times New Roman" w:hAnsi="Arial" w:cs="Arial"/>
                <w:sz w:val="20"/>
              </w:rPr>
              <w:t>,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nebo </w:t>
            </w:r>
            <w:r w:rsidR="00BE62B3">
              <w:rPr>
                <w:rFonts w:ascii="Arial" w:eastAsia="Times New Roman" w:hAnsi="Arial" w:cs="Arial"/>
                <w:sz w:val="20"/>
              </w:rPr>
              <w:t>„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podvěšením</w:t>
            </w:r>
            <w:proofErr w:type="spellEnd"/>
            <w:r w:rsidR="00BE62B3">
              <w:rPr>
                <w:rFonts w:ascii="Arial" w:eastAsia="Times New Roman" w:hAnsi="Arial" w:cs="Arial"/>
                <w:sz w:val="20"/>
              </w:rPr>
              <w:t>“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dalšího pole a řadičů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5944C1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AF5922" w14:textId="77777777" w:rsidR="00DB5A80" w:rsidRDefault="00DB5A80" w:rsidP="00DB5A80"/>
        </w:tc>
      </w:tr>
      <w:tr w:rsidR="00DB5A80" w14:paraId="1ABE3E83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E04" w14:textId="77777777" w:rsidR="00DB5A80" w:rsidRPr="004C2681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Rozšiřitelnost, podporované disky a moduly</w:t>
            </w:r>
          </w:p>
          <w:p w14:paraId="75374557" w14:textId="52FF0A7B" w:rsidR="00DB5A80" w:rsidRPr="00DB5A80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5CF" w14:textId="77777777" w:rsidR="00DB5A80" w:rsidRPr="00F17496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celková velikost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cache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>/RAM v jednom řadiči je minimálně 128GB</w:t>
            </w:r>
          </w:p>
          <w:p w14:paraId="7DEAEE51" w14:textId="77777777" w:rsidR="00DB5A80" w:rsidRPr="00F17496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celková nativní rozšiřitelnost pole je minimálně 425 disků, v případě nasazení více řadičů až čtyřikrát tolik disků. Jak je popsáno výše na řádku výkonnost, nelze toto řešit pomocí externí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virtualizace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nebo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podvěšením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dalšího pole a řadičů</w:t>
            </w:r>
          </w:p>
          <w:p w14:paraId="38C59B81" w14:textId="14B165C2" w:rsidR="00DB5A80" w:rsidRPr="00F17496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podpora 2,5” nebo 3,5” disků technologie SSD/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flash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včetně rotačních disků a to současně:</w:t>
            </w:r>
          </w:p>
          <w:p w14:paraId="0FEB63EE" w14:textId="77777777" w:rsidR="00DB5A80" w:rsidRPr="00F17496" w:rsidRDefault="00DB5A80" w:rsidP="00DB5A80">
            <w:pPr>
              <w:spacing w:before="120"/>
              <w:ind w:left="72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-    podpora SCM (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Storage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Class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Memory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>)</w:t>
            </w:r>
          </w:p>
          <w:p w14:paraId="5465608D" w14:textId="77777777" w:rsidR="00DB5A80" w:rsidRPr="00F17496" w:rsidRDefault="00DB5A80" w:rsidP="00DB5A80">
            <w:pPr>
              <w:numPr>
                <w:ilvl w:val="1"/>
                <w:numId w:val="14"/>
              </w:numPr>
              <w:spacing w:before="120"/>
              <w:ind w:left="998" w:hanging="270"/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enterprise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úrovně tzn. minimálně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eMLC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, 3D TLC, SLC nebo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eSLC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nebo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enterprise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flash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modulů s hodnotou DWPD 2 a vyšší</w:t>
            </w:r>
          </w:p>
          <w:p w14:paraId="5035D8D0" w14:textId="77777777" w:rsidR="00DB5A80" w:rsidRPr="00F17496" w:rsidRDefault="00DB5A80" w:rsidP="00DB5A80">
            <w:pPr>
              <w:numPr>
                <w:ilvl w:val="1"/>
                <w:numId w:val="14"/>
              </w:numPr>
              <w:spacing w:before="120"/>
              <w:ind w:left="998" w:hanging="27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všechny požadované typy SSD /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Flash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modulů musí být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NVMe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architektury</w:t>
            </w:r>
          </w:p>
          <w:p w14:paraId="3CCB8A5D" w14:textId="77777777" w:rsidR="00DB5A80" w:rsidRPr="00F17496" w:rsidRDefault="00DB5A80" w:rsidP="00DB5A80">
            <w:pPr>
              <w:numPr>
                <w:ilvl w:val="1"/>
                <w:numId w:val="14"/>
              </w:numPr>
              <w:spacing w:before="120"/>
              <w:ind w:left="998" w:hanging="27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rotační disky minimálně na </w:t>
            </w:r>
            <w:proofErr w:type="gramStart"/>
            <w:r w:rsidRPr="00F17496">
              <w:rPr>
                <w:rFonts w:ascii="Arial" w:eastAsia="Times New Roman" w:hAnsi="Arial" w:cs="Arial"/>
                <w:sz w:val="20"/>
              </w:rPr>
              <w:t>SAS</w:t>
            </w:r>
            <w:proofErr w:type="gramEnd"/>
            <w:r w:rsidRPr="00F17496">
              <w:rPr>
                <w:rFonts w:ascii="Arial" w:eastAsia="Times New Roman" w:hAnsi="Arial" w:cs="Arial"/>
                <w:sz w:val="20"/>
              </w:rPr>
              <w:t xml:space="preserve"> 3.0 architektuře</w:t>
            </w:r>
          </w:p>
          <w:p w14:paraId="6787F3B7" w14:textId="77777777" w:rsidR="00DB5A80" w:rsidRPr="00F17496" w:rsidRDefault="00DB5A80" w:rsidP="00DB5A80">
            <w:pPr>
              <w:numPr>
                <w:ilvl w:val="1"/>
                <w:numId w:val="14"/>
              </w:numPr>
              <w:spacing w:before="120"/>
              <w:ind w:left="998" w:hanging="27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řešení musí umožňovat nasazení redukce dat v reálném čase tak, aby nedošlo k žádnému ovlivnění výkonu jednotlivých řadičů, tzn. je požadována separátní HW technologie, která je nezávislá na výpočetním výkonu jednotlivých řadičů a zajišťuje maximálně efektivní redukci dat nezávisle na typu ukládaných dat</w:t>
            </w:r>
          </w:p>
          <w:p w14:paraId="1EF78F6F" w14:textId="659D9CD4" w:rsidR="00DB5A80" w:rsidRPr="00F17496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podpora minimálně následujících režimů RAID -  1, 5, 6, 10 nebo minimálně DRAID 1 a 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46529E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DC4135" w14:textId="77777777" w:rsidR="00DB5A80" w:rsidRDefault="00DB5A80" w:rsidP="00DB5A80"/>
        </w:tc>
      </w:tr>
      <w:tr w:rsidR="00624496" w14:paraId="56B3C605" w14:textId="77777777" w:rsidTr="00014707">
        <w:trPr>
          <w:trHeight w:val="73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A2B" w14:textId="65F3E82C" w:rsidR="00D053E2" w:rsidRPr="00DB5A80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Minimální požadovaná </w:t>
            </w:r>
            <w:r>
              <w:rPr>
                <w:rFonts w:ascii="Arial" w:eastAsia="Times New Roman" w:hAnsi="Arial" w:cs="Arial"/>
                <w:sz w:val="20"/>
              </w:rPr>
              <w:t>využitelná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kapacita a ochrana dat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6E65" w14:textId="7A659D25" w:rsidR="00D053E2" w:rsidRPr="00F17496" w:rsidRDefault="00DB5A80" w:rsidP="00744A51">
            <w:pPr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minimálně 65 TB s ochranou (bez užití data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reduction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nástrojů) na SSD /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Flash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ve variantě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enterprise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(DWPD 2 a vyšší, maximální hrubá kapacita jednoho SSD nebo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flash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modulu je 10 TB)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8E2388" w14:textId="77777777" w:rsidR="00D053E2" w:rsidRDefault="00D053E2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60894" w14:textId="77777777" w:rsidR="00D053E2" w:rsidRDefault="00D053E2"/>
        </w:tc>
      </w:tr>
      <w:tr w:rsidR="00DB5A80" w14:paraId="7B11BCAC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6C2" w14:textId="2C38CBF0" w:rsidR="00DB5A80" w:rsidRPr="00DB5A80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Požadavky na velikost řešení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A241" w14:textId="70A9EED2" w:rsidR="00DB5A80" w:rsidRPr="00F17496" w:rsidRDefault="00DB5A80" w:rsidP="003E3E2F">
            <w:pPr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Nabízené řešení </w:t>
            </w:r>
            <w:r w:rsidR="003E3E2F" w:rsidRPr="00F17496">
              <w:rPr>
                <w:rFonts w:ascii="Arial" w:eastAsia="Times New Roman" w:hAnsi="Arial" w:cs="Arial"/>
                <w:sz w:val="20"/>
              </w:rPr>
              <w:t xml:space="preserve">musí být v provedení </w:t>
            </w:r>
            <w:r w:rsidRPr="00F17496">
              <w:rPr>
                <w:rFonts w:ascii="Arial" w:eastAsia="Times New Roman" w:hAnsi="Arial" w:cs="Arial"/>
                <w:sz w:val="20"/>
              </w:rPr>
              <w:t>1U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A39964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05BE1" w14:textId="77777777" w:rsidR="00DB5A80" w:rsidRDefault="00DB5A80" w:rsidP="00DB5A80"/>
        </w:tc>
      </w:tr>
      <w:tr w:rsidR="00DB5A80" w14:paraId="78F11B93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F16" w14:textId="49989783" w:rsidR="00DB5A80" w:rsidRDefault="00DB5A80" w:rsidP="00DB5A80">
            <w:pPr>
              <w:pStyle w:val="Nadpis4"/>
              <w:spacing w:line="276" w:lineRule="auto"/>
              <w:outlineLvl w:val="3"/>
            </w:pPr>
            <w:r w:rsidRPr="004C2681">
              <w:rPr>
                <w:rFonts w:ascii="Arial" w:eastAsia="Times New Roman" w:hAnsi="Arial" w:cs="Arial"/>
                <w:sz w:val="20"/>
              </w:rPr>
              <w:t>Konektivita k hostitelským serverům (front-end)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71A" w14:textId="1098D056" w:rsidR="00DB5A80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připojení </w:t>
            </w:r>
            <w:r>
              <w:rPr>
                <w:rFonts w:ascii="Arial" w:eastAsia="Times New Roman" w:hAnsi="Arial" w:cs="Arial"/>
                <w:sz w:val="20"/>
              </w:rPr>
              <w:t xml:space="preserve">host serverů </w:t>
            </w:r>
            <w:r w:rsidRPr="004C2681">
              <w:rPr>
                <w:rFonts w:ascii="Arial" w:eastAsia="Times New Roman" w:hAnsi="Arial" w:cs="Arial"/>
                <w:sz w:val="20"/>
              </w:rPr>
              <w:t>blokovým přístupem</w:t>
            </w:r>
            <w:r>
              <w:rPr>
                <w:rFonts w:ascii="Arial" w:eastAsia="Times New Roman" w:hAnsi="Arial" w:cs="Arial"/>
                <w:sz w:val="20"/>
              </w:rPr>
              <w:t>,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pomocí 32Gbit FC a 10</w:t>
            </w:r>
            <w:r>
              <w:rPr>
                <w:rFonts w:ascii="Arial" w:eastAsia="Times New Roman" w:hAnsi="Arial" w:cs="Arial"/>
                <w:sz w:val="20"/>
              </w:rPr>
              <w:t>/25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Gbit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iSCSI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618F6A78" w14:textId="77777777" w:rsidR="00DB5A80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jsou požadovány min. </w:t>
            </w:r>
            <w:r>
              <w:rPr>
                <w:rFonts w:ascii="Arial" w:eastAsia="Times New Roman" w:hAnsi="Arial" w:cs="Arial"/>
                <w:sz w:val="20"/>
              </w:rPr>
              <w:t>4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porty minimálně 32Gb</w:t>
            </w:r>
            <w:r>
              <w:rPr>
                <w:rFonts w:ascii="Arial" w:eastAsia="Times New Roman" w:hAnsi="Arial" w:cs="Arial"/>
                <w:sz w:val="20"/>
              </w:rPr>
              <w:t>ps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FC a 2 porty 10</w:t>
            </w:r>
            <w:r>
              <w:rPr>
                <w:rFonts w:ascii="Arial" w:eastAsia="Times New Roman" w:hAnsi="Arial" w:cs="Arial"/>
                <w:sz w:val="20"/>
              </w:rPr>
              <w:t>/25</w:t>
            </w:r>
            <w:r w:rsidRPr="004C2681">
              <w:rPr>
                <w:rFonts w:ascii="Arial" w:eastAsia="Times New Roman" w:hAnsi="Arial" w:cs="Arial"/>
                <w:sz w:val="20"/>
              </w:rPr>
              <w:t>Gb</w:t>
            </w:r>
            <w:r>
              <w:rPr>
                <w:rFonts w:ascii="Arial" w:eastAsia="Times New Roman" w:hAnsi="Arial" w:cs="Arial"/>
                <w:sz w:val="20"/>
              </w:rPr>
              <w:t>ps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iSCSI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na řadič, tzn. minimálně </w:t>
            </w:r>
            <w:r>
              <w:rPr>
                <w:rFonts w:ascii="Arial" w:eastAsia="Times New Roman" w:hAnsi="Arial" w:cs="Arial"/>
                <w:sz w:val="20"/>
              </w:rPr>
              <w:t>8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32Gbit FC portů a </w:t>
            </w:r>
            <w:r>
              <w:rPr>
                <w:rFonts w:ascii="Arial" w:eastAsia="Times New Roman" w:hAnsi="Arial" w:cs="Arial"/>
                <w:sz w:val="20"/>
              </w:rPr>
              <w:t>4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10</w:t>
            </w:r>
            <w:r>
              <w:rPr>
                <w:rFonts w:ascii="Arial" w:eastAsia="Times New Roman" w:hAnsi="Arial" w:cs="Arial"/>
                <w:sz w:val="20"/>
              </w:rPr>
              <w:t>/25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Gbit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iSCSI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port</w:t>
            </w:r>
            <w:r>
              <w:rPr>
                <w:rFonts w:ascii="Arial" w:eastAsia="Times New Roman" w:hAnsi="Arial" w:cs="Arial"/>
                <w:sz w:val="20"/>
              </w:rPr>
              <w:t>y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na jedno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dvouřadičové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diskové pole</w:t>
            </w:r>
          </w:p>
          <w:p w14:paraId="6B5CFB88" w14:textId="55F45855" w:rsidR="00DB5A80" w:rsidRPr="00706F2B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všechny výše uvedené porty musí podporovat připojení diskového pole za použití protokolu </w:t>
            </w:r>
            <w:proofErr w:type="spellStart"/>
            <w:r>
              <w:rPr>
                <w:rFonts w:ascii="Arial" w:eastAsia="Times New Roman" w:hAnsi="Arial" w:cs="Arial"/>
                <w:sz w:val="20"/>
              </w:rPr>
              <w:t>NVMeOF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2A83F2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14B85A" w14:textId="77777777" w:rsidR="00DB5A80" w:rsidRDefault="00DB5A80" w:rsidP="00DB5A80"/>
        </w:tc>
      </w:tr>
      <w:tr w:rsidR="00DB5A80" w14:paraId="3FA9D102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342B" w14:textId="77777777" w:rsidR="00DB5A80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</w:p>
          <w:p w14:paraId="534F27A4" w14:textId="4617BA5A" w:rsidR="00DB5A80" w:rsidRPr="00DB5A80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  <w:t>Fu</w:t>
            </w:r>
            <w:r w:rsidRPr="00DB5A80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  <w:t>nkcionality pro efektivní ukládání a správu dat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B46" w14:textId="77777777" w:rsidR="00DB5A80" w:rsidRPr="004C2681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vytváření virtuálních logických disků</w:t>
            </w:r>
          </w:p>
          <w:p w14:paraId="6548BDCD" w14:textId="77777777" w:rsidR="00DB5A80" w:rsidRPr="004C2681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thin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provisioning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(včetně </w:t>
            </w:r>
            <w:r w:rsidRPr="004C2681">
              <w:rPr>
                <w:rFonts w:ascii="Arial" w:eastAsia="Times New Roman" w:hAnsi="Arial" w:cs="Arial"/>
                <w:sz w:val="20"/>
              </w:rPr>
              <w:t>detekce a reklamace prázdného prostoru)</w:t>
            </w:r>
          </w:p>
          <w:p w14:paraId="32A6455A" w14:textId="77777777" w:rsidR="00DB5A80" w:rsidRPr="004C2681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komprese dat v reálném čase bez nutnosti dedikování dodatečného diskového prostoru pro post-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processing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706F2B">
              <w:rPr>
                <w:rFonts w:ascii="Arial" w:eastAsia="Times New Roman" w:hAnsi="Arial" w:cs="Arial"/>
                <w:sz w:val="20"/>
              </w:rPr>
              <w:t xml:space="preserve">pro </w:t>
            </w:r>
            <w:r w:rsidRPr="00706F2B">
              <w:rPr>
                <w:rFonts w:ascii="Arial" w:eastAsia="Times New Roman" w:hAnsi="Arial" w:cs="Arial"/>
                <w:sz w:val="20"/>
              </w:rPr>
              <w:lastRenderedPageBreak/>
              <w:t>celou nabízenou kapacitu včetně patřičného HW akcelerátoru nebo na jednotlivých modulech</w:t>
            </w:r>
          </w:p>
          <w:p w14:paraId="2FBF6C68" w14:textId="77777777" w:rsidR="00DB5A80" w:rsidRPr="004C2681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deduplikace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dat </w:t>
            </w:r>
            <w:r w:rsidRPr="004C2681">
              <w:rPr>
                <w:rFonts w:ascii="Arial" w:eastAsia="Times New Roman" w:hAnsi="Arial" w:cs="Arial"/>
                <w:sz w:val="20"/>
              </w:rPr>
              <w:t>v reálném čase bez nutnosti dedikování dodatečného diskového prostoru pro post-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processing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706F2B">
              <w:rPr>
                <w:rFonts w:ascii="Arial" w:eastAsia="Times New Roman" w:hAnsi="Arial" w:cs="Arial"/>
                <w:sz w:val="20"/>
              </w:rPr>
              <w:t xml:space="preserve">pro celou požadovanou kapacitu včetně SW licence </w:t>
            </w:r>
          </w:p>
          <w:p w14:paraId="5DAE9C09" w14:textId="77777777" w:rsidR="00DB5A80" w:rsidRPr="004C2681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šifrování dat minimálně pro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flash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kapacitu ve standardu minimálně FIPS 140-2 bez nutnosti přítomnosti speciálních pevných disků včetně příslušné licence. Pokud nabízené řešení neumožňuje šifrování dat nad úrovní disků, jsou požadovány SED disky pro celou nabízenou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flash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kapacitu, opět minimálně ve standardu FIPS 140-2</w:t>
            </w:r>
          </w:p>
          <w:p w14:paraId="0EA4DF56" w14:textId="77777777" w:rsidR="00DB5A80" w:rsidRPr="004C2681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inteligentní správa výkonnostních charakteristik (pro minimálně 3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tiery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a to včetně SCM)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virtualizovaných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diskových prostorů (automatická migrace více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utilizovaných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dat na rychlejší disky nebo SSD/SCM)</w:t>
            </w:r>
          </w:p>
          <w:p w14:paraId="6618A674" w14:textId="58F12E5D" w:rsidR="00DB5A80" w:rsidRPr="004C2681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podpora externí</w:t>
            </w:r>
            <w:r w:rsidRPr="00706F2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storage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virtualizace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pro stávající disková pole a možnost dalšího 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připojení externích diskových polí od různých výrobců min. pro účely migrace. </w:t>
            </w:r>
          </w:p>
          <w:p w14:paraId="5AB6A387" w14:textId="25987CD3" w:rsidR="00DB5A80" w:rsidRPr="004C2681" w:rsidRDefault="00A06C59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p</w:t>
            </w:r>
            <w:r w:rsidR="00DB5A80" w:rsidRPr="004C2681">
              <w:rPr>
                <w:rFonts w:ascii="Arial" w:eastAsia="Times New Roman" w:hAnsi="Arial" w:cs="Arial"/>
                <w:sz w:val="20"/>
              </w:rPr>
              <w:t xml:space="preserve">odpora nástrojů pro sledování historických dat o vytížení datového úložiště (minimálně počet </w:t>
            </w:r>
            <w:proofErr w:type="spellStart"/>
            <w:r w:rsidR="00DB5A80" w:rsidRPr="004C2681">
              <w:rPr>
                <w:rFonts w:ascii="Arial" w:eastAsia="Times New Roman" w:hAnsi="Arial" w:cs="Arial"/>
                <w:sz w:val="20"/>
              </w:rPr>
              <w:t>IOps</w:t>
            </w:r>
            <w:proofErr w:type="spellEnd"/>
            <w:r w:rsidR="00DB5A80" w:rsidRPr="004C2681">
              <w:rPr>
                <w:rFonts w:ascii="Arial" w:eastAsia="Times New Roman" w:hAnsi="Arial" w:cs="Arial"/>
                <w:sz w:val="20"/>
              </w:rPr>
              <w:t xml:space="preserve">, latence, propustnost, alokovaná kapacita, využití </w:t>
            </w:r>
            <w:proofErr w:type="spellStart"/>
            <w:r w:rsidR="00DB5A80" w:rsidRPr="004C2681">
              <w:rPr>
                <w:rFonts w:ascii="Arial" w:eastAsia="Times New Roman" w:hAnsi="Arial" w:cs="Arial"/>
                <w:sz w:val="20"/>
              </w:rPr>
              <w:t>keší</w:t>
            </w:r>
            <w:proofErr w:type="spellEnd"/>
            <w:r w:rsidR="00DB5A80" w:rsidRPr="004C2681">
              <w:rPr>
                <w:rFonts w:ascii="Arial" w:eastAsia="Times New Roman" w:hAnsi="Arial" w:cs="Arial"/>
                <w:sz w:val="20"/>
              </w:rPr>
              <w:t xml:space="preserve">) s </w:t>
            </w:r>
            <w:proofErr w:type="spellStart"/>
            <w:r w:rsidR="00DB5A80" w:rsidRPr="004C2681">
              <w:rPr>
                <w:rFonts w:ascii="Arial" w:eastAsia="Times New Roman" w:hAnsi="Arial" w:cs="Arial"/>
                <w:sz w:val="20"/>
              </w:rPr>
              <w:t>granularitou</w:t>
            </w:r>
            <w:proofErr w:type="spellEnd"/>
            <w:r w:rsidR="00DB5A80" w:rsidRPr="004C2681">
              <w:rPr>
                <w:rFonts w:ascii="Arial" w:eastAsia="Times New Roman" w:hAnsi="Arial" w:cs="Arial"/>
                <w:sz w:val="20"/>
              </w:rPr>
              <w:t xml:space="preserve"> na hosta či LUN s historií minimálně 1 rok (možnost řešit </w:t>
            </w:r>
            <w:r w:rsidR="00417441" w:rsidRPr="004C2681">
              <w:rPr>
                <w:rFonts w:ascii="Arial" w:eastAsia="Times New Roman" w:hAnsi="Arial" w:cs="Arial"/>
                <w:sz w:val="20"/>
              </w:rPr>
              <w:t>externí</w:t>
            </w:r>
            <w:r w:rsidR="00417441">
              <w:rPr>
                <w:rFonts w:ascii="Arial" w:eastAsia="Times New Roman" w:hAnsi="Arial" w:cs="Arial"/>
                <w:sz w:val="20"/>
              </w:rPr>
              <w:t>m</w:t>
            </w:r>
            <w:r w:rsidR="00417441" w:rsidRPr="004C2681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DB5A80" w:rsidRPr="004C2681">
              <w:rPr>
                <w:rFonts w:ascii="Arial" w:eastAsia="Times New Roman" w:hAnsi="Arial" w:cs="Arial"/>
                <w:sz w:val="20"/>
              </w:rPr>
              <w:t>SW nástrojem v rámci dodávky)</w:t>
            </w:r>
          </w:p>
          <w:p w14:paraId="2BAC67C2" w14:textId="77777777" w:rsidR="00DB5A80" w:rsidRPr="00706F2B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706F2B">
              <w:rPr>
                <w:rFonts w:ascii="Arial" w:eastAsia="Times New Roman" w:hAnsi="Arial" w:cs="Arial"/>
                <w:sz w:val="20"/>
              </w:rPr>
              <w:t>Microsoft VSS podpora</w:t>
            </w:r>
          </w:p>
          <w:p w14:paraId="1EB0999E" w14:textId="10153EAB" w:rsidR="00DB5A80" w:rsidRPr="00706F2B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VMware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VAAI, VVOL podpora, dále je požadován VASA provider přímo ve FW nabízeného diskového pole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021078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3ED624" w14:textId="77777777" w:rsidR="00DB5A80" w:rsidRDefault="00DB5A80" w:rsidP="00DB5A80"/>
        </w:tc>
      </w:tr>
      <w:tr w:rsidR="00DB5A80" w14:paraId="78772C88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96B" w14:textId="48967F6F" w:rsidR="00DB5A80" w:rsidRDefault="00DB5A80" w:rsidP="00DB5A80">
            <w:r w:rsidRPr="00A06C59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  <w:t xml:space="preserve">Podpora operačních systémů a </w:t>
            </w:r>
            <w:proofErr w:type="spellStart"/>
            <w:r w:rsidRPr="00A06C59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  <w:t>hypervizorů</w:t>
            </w:r>
            <w:proofErr w:type="spellEnd"/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17C" w14:textId="378C8A0A" w:rsidR="00DB5A80" w:rsidRPr="00706F2B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706F2B">
              <w:rPr>
                <w:rFonts w:ascii="Arial" w:eastAsia="Times New Roman" w:hAnsi="Arial" w:cs="Arial"/>
                <w:sz w:val="20"/>
              </w:rPr>
              <w:t>IBM AIX 7.1a vyšší</w:t>
            </w:r>
          </w:p>
          <w:p w14:paraId="59D79029" w14:textId="77777777" w:rsidR="00DB5A80" w:rsidRPr="00706F2B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706F2B">
              <w:rPr>
                <w:rFonts w:ascii="Arial" w:eastAsia="Times New Roman" w:hAnsi="Arial" w:cs="Arial"/>
                <w:sz w:val="20"/>
              </w:rPr>
              <w:t>IBM VIOS 2.2 a vyšší</w:t>
            </w:r>
          </w:p>
          <w:p w14:paraId="3DC264FD" w14:textId="77777777" w:rsidR="00DB5A80" w:rsidRPr="00706F2B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Oracle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Enterprise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gramStart"/>
            <w:r w:rsidRPr="00706F2B">
              <w:rPr>
                <w:rFonts w:ascii="Arial" w:eastAsia="Times New Roman" w:hAnsi="Arial" w:cs="Arial"/>
                <w:sz w:val="20"/>
              </w:rPr>
              <w:t>Linux 8.x a vyšší</w:t>
            </w:r>
            <w:proofErr w:type="gramEnd"/>
          </w:p>
          <w:p w14:paraId="65A90D8F" w14:textId="77777777" w:rsidR="00DB5A80" w:rsidRPr="00706F2B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Oracle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DB 11.x a </w:t>
            </w:r>
            <w:proofErr w:type="gramStart"/>
            <w:r w:rsidRPr="00706F2B">
              <w:rPr>
                <w:rFonts w:ascii="Arial" w:eastAsia="Times New Roman" w:hAnsi="Arial" w:cs="Arial"/>
                <w:sz w:val="20"/>
              </w:rPr>
              <w:t>12.x a vyšší</w:t>
            </w:r>
            <w:proofErr w:type="gramEnd"/>
          </w:p>
          <w:p w14:paraId="217A0403" w14:textId="77777777" w:rsidR="00DB5A80" w:rsidRPr="00706F2B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proofErr w:type="gramStart"/>
            <w:r w:rsidRPr="00706F2B">
              <w:rPr>
                <w:rFonts w:ascii="Arial" w:eastAsia="Times New Roman" w:hAnsi="Arial" w:cs="Arial"/>
                <w:sz w:val="20"/>
              </w:rPr>
              <w:t>RHEL 6.x a vyšší</w:t>
            </w:r>
            <w:proofErr w:type="gramEnd"/>
          </w:p>
          <w:p w14:paraId="60F8B17E" w14:textId="77777777" w:rsidR="00DB5A80" w:rsidRPr="00706F2B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706F2B">
              <w:rPr>
                <w:rFonts w:ascii="Arial" w:eastAsia="Times New Roman" w:hAnsi="Arial" w:cs="Arial"/>
                <w:sz w:val="20"/>
              </w:rPr>
              <w:t>VMware</w:t>
            </w:r>
            <w:proofErr w:type="spellEnd"/>
            <w:r w:rsidRPr="00706F2B">
              <w:rPr>
                <w:rFonts w:ascii="Arial" w:eastAsia="Times New Roman" w:hAnsi="Arial" w:cs="Arial"/>
                <w:sz w:val="20"/>
              </w:rPr>
              <w:t xml:space="preserve"> 7 a vyšší včetně VAAI a VASA integrací</w:t>
            </w:r>
          </w:p>
          <w:p w14:paraId="2AF045E9" w14:textId="77777777" w:rsidR="00DB5A80" w:rsidRDefault="00DB5A80" w:rsidP="00DB5A80">
            <w:pPr>
              <w:spacing w:after="160"/>
              <w:rPr>
                <w:rFonts w:ascii="Arial" w:eastAsia="Times New Roman" w:hAnsi="Arial" w:cs="Arial"/>
                <w:sz w:val="20"/>
              </w:rPr>
            </w:pPr>
            <w:r w:rsidRPr="00706F2B">
              <w:rPr>
                <w:rFonts w:ascii="Arial" w:eastAsia="Times New Roman" w:hAnsi="Arial" w:cs="Arial"/>
                <w:sz w:val="20"/>
              </w:rPr>
              <w:t>Windows server 2016 a vyšší</w:t>
            </w:r>
          </w:p>
          <w:p w14:paraId="66FDB75E" w14:textId="1B44711B" w:rsidR="00597FD6" w:rsidRPr="00706F2B" w:rsidRDefault="00597FD6" w:rsidP="00A47650">
            <w:pPr>
              <w:spacing w:after="16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Hyper-V</w:t>
            </w:r>
            <w:r w:rsidR="00A47650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A47650" w:rsidRPr="00A47650">
              <w:rPr>
                <w:rFonts w:ascii="Arial" w:eastAsia="Times New Roman" w:hAnsi="Arial" w:cs="Arial"/>
                <w:sz w:val="20"/>
              </w:rPr>
              <w:t>Windows server 20</w:t>
            </w:r>
            <w:r w:rsidR="00A47650">
              <w:rPr>
                <w:rFonts w:ascii="Arial" w:eastAsia="Times New Roman" w:hAnsi="Arial" w:cs="Arial"/>
                <w:sz w:val="20"/>
              </w:rPr>
              <w:t>19</w:t>
            </w:r>
            <w:r w:rsidR="00A47650" w:rsidRPr="00A47650">
              <w:rPr>
                <w:rFonts w:ascii="Arial" w:eastAsia="Times New Roman" w:hAnsi="Arial" w:cs="Arial"/>
                <w:sz w:val="20"/>
              </w:rPr>
              <w:t xml:space="preserve"> a vyšší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7087C3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50BEC" w14:textId="77777777" w:rsidR="00DB5A80" w:rsidRDefault="00DB5A80" w:rsidP="00DB5A80"/>
        </w:tc>
      </w:tr>
      <w:tr w:rsidR="00DB5A80" w14:paraId="0BE01245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9B4" w14:textId="17708E1B" w:rsidR="00DB5A80" w:rsidRPr="00A06C59" w:rsidRDefault="00DB5A80" w:rsidP="00DB5A80">
            <w:pPr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</w:pPr>
            <w:r w:rsidRPr="00A06C59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  <w:t>Typ přístupu k datům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7C6" w14:textId="60CAAB86" w:rsidR="00DB5A80" w:rsidRPr="00706F2B" w:rsidRDefault="00DB5A80" w:rsidP="00DB5A80">
            <w:pPr>
              <w:spacing w:after="160"/>
              <w:rPr>
                <w:rFonts w:ascii="Arial" w:eastAsia="Times New Roman" w:hAnsi="Arial" w:cs="Arial"/>
                <w:sz w:val="20"/>
              </w:rPr>
            </w:pPr>
            <w:r w:rsidRPr="00DB5A80">
              <w:rPr>
                <w:rFonts w:ascii="Arial" w:eastAsia="Times New Roman" w:hAnsi="Arial" w:cs="Arial"/>
                <w:sz w:val="20"/>
              </w:rPr>
              <w:t xml:space="preserve">blokový, standard FCP, </w:t>
            </w:r>
            <w:proofErr w:type="spellStart"/>
            <w:r w:rsidRPr="00DB5A80">
              <w:rPr>
                <w:rFonts w:ascii="Arial" w:eastAsia="Times New Roman" w:hAnsi="Arial" w:cs="Arial"/>
                <w:sz w:val="20"/>
              </w:rPr>
              <w:t>iSCSI</w:t>
            </w:r>
            <w:proofErr w:type="spellEnd"/>
            <w:r w:rsidRPr="00DB5A80">
              <w:rPr>
                <w:rFonts w:ascii="Arial" w:eastAsia="Times New Roman" w:hAnsi="Arial" w:cs="Arial"/>
                <w:sz w:val="20"/>
              </w:rPr>
              <w:t xml:space="preserve">, </w:t>
            </w:r>
            <w:proofErr w:type="spellStart"/>
            <w:r w:rsidRPr="00DB5A80">
              <w:rPr>
                <w:rFonts w:ascii="Arial" w:eastAsia="Times New Roman" w:hAnsi="Arial" w:cs="Arial"/>
                <w:sz w:val="20"/>
              </w:rPr>
              <w:t>NVMeOF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20EAA8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D7262B" w14:textId="77777777" w:rsidR="00DB5A80" w:rsidRDefault="00DB5A80" w:rsidP="00DB5A80"/>
        </w:tc>
      </w:tr>
      <w:tr w:rsidR="00DB5A80" w14:paraId="0F4FF54B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3C0" w14:textId="3AF5DFF4" w:rsidR="00DB5A80" w:rsidRPr="00A06C59" w:rsidRDefault="00DB5A80" w:rsidP="00DB5A80">
            <w:pPr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</w:pPr>
            <w:r w:rsidRPr="00A06C59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  <w:t>Bezpečnost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893" w14:textId="0058FD92" w:rsidR="00DB5A80" w:rsidRPr="00F17496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ochrana proti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ransomware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útokům nativní funkcionalitou nabízeného pole, v rámci jeho funkcionalit – řešení z aplikační vrstvy pomocí aplikací třetích stran není přípustné. Řešení musí být pro tento účel jasně popsané a určené, např. ochrana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LUNu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pouze nastavením do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read-only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modu není dostatečná pro splnění tohoto požadavku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4C717C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AAAA31" w14:textId="77777777" w:rsidR="00DB5A80" w:rsidRDefault="00DB5A80" w:rsidP="00DB5A80"/>
        </w:tc>
      </w:tr>
      <w:tr w:rsidR="00DB5A80" w14:paraId="6CC6FDF4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B3C6" w14:textId="15CA1BA4" w:rsidR="00DB5A80" w:rsidRPr="00A06C59" w:rsidRDefault="00DB5A80" w:rsidP="00A06C59">
            <w:pPr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</w:pPr>
            <w:r w:rsidRPr="00A06C59">
              <w:rPr>
                <w:rFonts w:ascii="Arial" w:eastAsia="Times New Roman" w:hAnsi="Arial" w:cs="Arial"/>
                <w:i/>
                <w:iCs/>
                <w:color w:val="365F91" w:themeColor="accent1" w:themeShade="BF"/>
                <w:sz w:val="20"/>
                <w:szCs w:val="24"/>
              </w:rPr>
              <w:t xml:space="preserve">Kopírovací funkce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C3F" w14:textId="1D550E79" w:rsidR="00A06C59" w:rsidRPr="00F17496" w:rsidRDefault="00A06C59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licence musí být součástí nabídky a musí být na neomezenou kapacitu, počet disků, expanzích jednotek</w:t>
            </w:r>
            <w:r w:rsidR="00597FD6" w:rsidRPr="00F17496">
              <w:rPr>
                <w:rFonts w:ascii="Arial" w:eastAsia="Times New Roman" w:hAnsi="Arial" w:cs="Arial"/>
                <w:sz w:val="20"/>
              </w:rPr>
              <w:t xml:space="preserve"> atd</w:t>
            </w:r>
            <w:r w:rsidRPr="00F17496">
              <w:rPr>
                <w:rFonts w:ascii="Arial" w:eastAsia="Times New Roman" w:hAnsi="Arial" w:cs="Arial"/>
                <w:sz w:val="20"/>
              </w:rPr>
              <w:t>.</w:t>
            </w:r>
          </w:p>
          <w:p w14:paraId="4BFA6945" w14:textId="05931409" w:rsidR="00DB5A80" w:rsidRPr="00F17496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zrcadlení virtuálního disku tzn. ochrana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virtualizovaných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dat v režimu RAID1 (s možností zdvojení dat virtuálního disku i na dvě pole)</w:t>
            </w:r>
          </w:p>
          <w:p w14:paraId="60A557DA" w14:textId="77777777" w:rsidR="00DB5A80" w:rsidRPr="00F17496" w:rsidRDefault="00DB5A80" w:rsidP="00DB5A80">
            <w:pPr>
              <w:spacing w:before="120"/>
              <w:jc w:val="both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možnost vytváření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snapshotů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(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CoW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a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RoW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>) a klonů v následujících režimech:</w:t>
            </w:r>
          </w:p>
          <w:p w14:paraId="42283397" w14:textId="77777777" w:rsidR="00DB5A80" w:rsidRPr="00F17496" w:rsidRDefault="00DB5A80" w:rsidP="00DB5A80">
            <w:pPr>
              <w:numPr>
                <w:ilvl w:val="0"/>
                <w:numId w:val="18"/>
              </w:numPr>
              <w:spacing w:before="120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snapshot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se po určité době může automaticky stát klonem </w:t>
            </w:r>
          </w:p>
          <w:p w14:paraId="1B500931" w14:textId="77777777" w:rsidR="00DB5A80" w:rsidRPr="00F17496" w:rsidRDefault="00DB5A80" w:rsidP="00DB5A80">
            <w:pPr>
              <w:numPr>
                <w:ilvl w:val="0"/>
                <w:numId w:val="18"/>
              </w:num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inkrementální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snapshoty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, </w:t>
            </w:r>
            <w:proofErr w:type="gramStart"/>
            <w:r w:rsidRPr="00F17496">
              <w:rPr>
                <w:rFonts w:ascii="Arial" w:eastAsia="Times New Roman" w:hAnsi="Arial" w:cs="Arial"/>
                <w:sz w:val="20"/>
              </w:rPr>
              <w:t>tzn. kopírují</w:t>
            </w:r>
            <w:proofErr w:type="gramEnd"/>
            <w:r w:rsidRPr="00F17496">
              <w:rPr>
                <w:rFonts w:ascii="Arial" w:eastAsia="Times New Roman" w:hAnsi="Arial" w:cs="Arial"/>
                <w:sz w:val="20"/>
              </w:rPr>
              <w:t xml:space="preserve"> se jen rozdílová data mezi dvěma okamžiky iniciace klonu</w:t>
            </w:r>
          </w:p>
          <w:p w14:paraId="687D4E67" w14:textId="77777777" w:rsidR="00DB5A80" w:rsidRPr="00F17496" w:rsidRDefault="00DB5A80" w:rsidP="00DB5A80">
            <w:pPr>
              <w:numPr>
                <w:ilvl w:val="0"/>
                <w:numId w:val="18"/>
              </w:num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reverzní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snapshoty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- lze provést zpětné přesunutí dat z klonu do původního originálního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Volume</w:t>
            </w:r>
            <w:proofErr w:type="spellEnd"/>
          </w:p>
          <w:p w14:paraId="2A35A8B3" w14:textId="77777777" w:rsidR="00DB5A80" w:rsidRPr="00F17496" w:rsidRDefault="00DB5A80" w:rsidP="00DB5A80">
            <w:pPr>
              <w:numPr>
                <w:ilvl w:val="0"/>
                <w:numId w:val="18"/>
              </w:num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lastRenderedPageBreak/>
              <w:t xml:space="preserve">lze udržovat až 4 inkrementálně pořizované klony z jednoho originálu (s možností reverzních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snapshotů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>)</w:t>
            </w:r>
          </w:p>
          <w:p w14:paraId="789396A8" w14:textId="6795A85A" w:rsidR="00DB5A80" w:rsidRPr="00F17496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interní/externí zrcadlení logického (virtuálního) disku z jednoho zdroje do dvou cílů pro zvýšení dostupnosti v případě výpadku jednoho cíle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07A22B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E51E45" w14:textId="77777777" w:rsidR="00DB5A80" w:rsidRDefault="00DB5A80" w:rsidP="00DB5A80"/>
        </w:tc>
      </w:tr>
      <w:tr w:rsidR="00DB5A80" w14:paraId="33003EB0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293" w14:textId="1A69C05F" w:rsidR="00DB5A80" w:rsidRPr="00056B51" w:rsidRDefault="00DB5A80" w:rsidP="00A06C59">
            <w:pPr>
              <w:pStyle w:val="Nadpis4"/>
              <w:spacing w:line="276" w:lineRule="auto"/>
              <w:outlineLvl w:val="3"/>
              <w:rPr>
                <w:rFonts w:ascii="Calibri" w:hAnsi="Calibri" w:cs="Calibri"/>
                <w:sz w:val="22"/>
                <w:szCs w:val="22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Zajištění kontinuální dostupnosti dat (DR a HA řešení)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58FD" w14:textId="3471799B" w:rsidR="00A06C59" w:rsidRPr="00F17496" w:rsidRDefault="00A06C59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licence musí být součástí nabídky a musí být na neomezenou kapacitu, počet disků, expanzích jednotek atd.</w:t>
            </w:r>
          </w:p>
          <w:p w14:paraId="5CDD840F" w14:textId="341A89DA" w:rsidR="00DB5A80" w:rsidRPr="00F17496" w:rsidRDefault="00DB5A80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upgrade software a hardware u řadičů provediteln</w:t>
            </w:r>
            <w:r w:rsidR="0006370A" w:rsidRPr="00F17496">
              <w:rPr>
                <w:rFonts w:ascii="Arial" w:eastAsia="Times New Roman" w:hAnsi="Arial" w:cs="Arial"/>
                <w:sz w:val="20"/>
              </w:rPr>
              <w:t>ý</w:t>
            </w:r>
            <w:r w:rsidRPr="00F17496">
              <w:rPr>
                <w:rFonts w:ascii="Arial" w:eastAsia="Times New Roman" w:hAnsi="Arial" w:cs="Arial"/>
                <w:sz w:val="20"/>
              </w:rPr>
              <w:t xml:space="preserve"> za chodu a bez ztráty přístupu hostitelských serverů k dat</w:t>
            </w:r>
            <w:r w:rsidR="0006370A" w:rsidRPr="00F17496">
              <w:rPr>
                <w:rFonts w:ascii="Arial" w:eastAsia="Times New Roman" w:hAnsi="Arial" w:cs="Arial"/>
                <w:sz w:val="20"/>
              </w:rPr>
              <w:t>ů</w:t>
            </w:r>
            <w:r w:rsidRPr="00F17496">
              <w:rPr>
                <w:rFonts w:ascii="Arial" w:eastAsia="Times New Roman" w:hAnsi="Arial" w:cs="Arial"/>
                <w:sz w:val="20"/>
              </w:rPr>
              <w:t>m</w:t>
            </w:r>
          </w:p>
          <w:p w14:paraId="3920214B" w14:textId="77777777" w:rsidR="00DB5A80" w:rsidRPr="00F17496" w:rsidRDefault="00DB5A80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disková pole musí být možné spojit do clusteru, který umožňuje vytvoření jednoho funkčního celku, zrcadlení dat mezi jednotlivými poli apod.</w:t>
            </w:r>
          </w:p>
          <w:p w14:paraId="20AA1F07" w14:textId="7927489C" w:rsidR="00DB5A80" w:rsidRPr="00F17496" w:rsidRDefault="00DB5A80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 xml:space="preserve">vytvoření HA řešení s automatickým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failover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bez dalších vícenákladů, které je navíc nezávislé na běžných </w:t>
            </w:r>
            <w:proofErr w:type="gramStart"/>
            <w:r w:rsidRPr="00F17496">
              <w:rPr>
                <w:rFonts w:ascii="Arial" w:eastAsia="Times New Roman" w:hAnsi="Arial" w:cs="Arial"/>
                <w:sz w:val="20"/>
              </w:rPr>
              <w:t>OS</w:t>
            </w:r>
            <w:proofErr w:type="gramEnd"/>
            <w:r w:rsidR="0006370A" w:rsidRPr="00F17496">
              <w:rPr>
                <w:rFonts w:ascii="Arial" w:eastAsia="Times New Roman" w:hAnsi="Arial" w:cs="Arial"/>
                <w:sz w:val="20"/>
              </w:rPr>
              <w:t>,</w:t>
            </w:r>
            <w:r w:rsidRPr="00F17496">
              <w:rPr>
                <w:rFonts w:ascii="Arial" w:eastAsia="Times New Roman" w:hAnsi="Arial" w:cs="Arial"/>
                <w:sz w:val="20"/>
              </w:rPr>
              <w:t xml:space="preserve"> nebo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virtualizační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platformě včetně příslušných licencí</w:t>
            </w:r>
          </w:p>
          <w:p w14:paraId="39750EC8" w14:textId="77777777" w:rsidR="00DB5A80" w:rsidRPr="00F17496" w:rsidRDefault="00DB5A80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podpora replikace dat do třetí lokality</w:t>
            </w:r>
          </w:p>
          <w:p w14:paraId="5AC4F42F" w14:textId="77777777" w:rsidR="00DB5A80" w:rsidRPr="00F17496" w:rsidRDefault="00DB5A80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SW pro redundantní datové cesty v ceně řešení</w:t>
            </w:r>
          </w:p>
          <w:p w14:paraId="5E1BA79C" w14:textId="50D88DA2" w:rsidR="00DB5A80" w:rsidRPr="00F17496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Nabízené řešení musí být plně kompatibilní s 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VMware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Metro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Storage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Cluster funkcionalitou, </w:t>
            </w:r>
            <w:proofErr w:type="gramStart"/>
            <w:r w:rsidRPr="00F17496">
              <w:rPr>
                <w:rFonts w:ascii="Arial" w:eastAsia="Times New Roman" w:hAnsi="Arial" w:cs="Arial"/>
                <w:sz w:val="20"/>
              </w:rPr>
              <w:t>tzn. musí</w:t>
            </w:r>
            <w:proofErr w:type="gramEnd"/>
            <w:r w:rsidRPr="00F17496">
              <w:rPr>
                <w:rFonts w:ascii="Arial" w:eastAsia="Times New Roman" w:hAnsi="Arial" w:cs="Arial"/>
                <w:sz w:val="20"/>
              </w:rPr>
              <w:t xml:space="preserve"> být dohledatelné v matici kompatibility na stránkách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VMware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F9ED14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08F733" w14:textId="77777777" w:rsidR="00DB5A80" w:rsidRDefault="00DB5A80" w:rsidP="00DB5A80"/>
        </w:tc>
      </w:tr>
      <w:tr w:rsidR="00DB5A80" w14:paraId="2531C047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938" w14:textId="3B91AE07" w:rsidR="00DB5A80" w:rsidRPr="00BD26F3" w:rsidRDefault="00DB5A80" w:rsidP="00DB5A80">
            <w:pPr>
              <w:pStyle w:val="Nadpis4"/>
              <w:spacing w:line="276" w:lineRule="auto"/>
              <w:outlineLvl w:val="3"/>
            </w:pPr>
            <w:r w:rsidRPr="004C2681">
              <w:rPr>
                <w:rFonts w:ascii="Arial" w:eastAsia="Times New Roman" w:hAnsi="Arial" w:cs="Arial"/>
                <w:sz w:val="20"/>
              </w:rPr>
              <w:t>Migrace dat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C1FC" w14:textId="261D9684" w:rsidR="00DB5A80" w:rsidRPr="00706F2B" w:rsidRDefault="00DB5A80" w:rsidP="00DB5A80">
            <w:pPr>
              <w:rPr>
                <w:rFonts w:ascii="Arial" w:eastAsia="Times New Roman" w:hAnsi="Arial" w:cs="Arial"/>
                <w:sz w:val="20"/>
              </w:rPr>
            </w:pPr>
            <w:r w:rsidRPr="00DB5A80">
              <w:rPr>
                <w:rFonts w:ascii="Arial" w:eastAsia="Times New Roman" w:hAnsi="Arial" w:cs="Arial"/>
                <w:sz w:val="20"/>
              </w:rPr>
              <w:t>transparentní migrace (tzn. možnost zdarma migrovat data ze stávajících diskových polí na nová disková úložiště) s možnosti rozšíření o synchronní a asynchronní zrcadlení logických (virtuálních) disků v případě více lokalit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4AB5D1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2DE187" w14:textId="77777777" w:rsidR="00DB5A80" w:rsidRDefault="00DB5A80" w:rsidP="00DB5A80"/>
        </w:tc>
      </w:tr>
      <w:tr w:rsidR="00DB5A80" w14:paraId="0A4ADCF2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2DD2" w14:textId="62B601F2" w:rsidR="00DB5A80" w:rsidRPr="00BD26F3" w:rsidRDefault="00DB5A80" w:rsidP="00DB5A80">
            <w:pPr>
              <w:pStyle w:val="Nadpis4"/>
              <w:spacing w:line="276" w:lineRule="auto"/>
              <w:outlineLvl w:val="3"/>
            </w:pPr>
            <w:r w:rsidRPr="004C2681">
              <w:rPr>
                <w:rFonts w:ascii="Arial" w:eastAsia="Times New Roman" w:hAnsi="Arial" w:cs="Arial"/>
                <w:sz w:val="20"/>
              </w:rPr>
              <w:t>Počet hostitelských serverů připojovaných k diskovému poli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368" w14:textId="6AA37EF2" w:rsidR="00DB5A80" w:rsidRPr="00706F2B" w:rsidRDefault="00DB5A80" w:rsidP="00A06C59">
            <w:pPr>
              <w:rPr>
                <w:rFonts w:ascii="Arial" w:eastAsia="Times New Roman" w:hAnsi="Arial" w:cs="Arial"/>
                <w:sz w:val="20"/>
              </w:rPr>
            </w:pPr>
            <w:r w:rsidRPr="00DB5A80">
              <w:rPr>
                <w:rFonts w:ascii="Arial" w:eastAsia="Times New Roman" w:hAnsi="Arial" w:cs="Arial"/>
                <w:sz w:val="20"/>
              </w:rPr>
              <w:t xml:space="preserve">řešení </w:t>
            </w:r>
            <w:r w:rsidR="00A06C59">
              <w:rPr>
                <w:rFonts w:ascii="Arial" w:eastAsia="Times New Roman" w:hAnsi="Arial" w:cs="Arial"/>
                <w:sz w:val="20"/>
              </w:rPr>
              <w:t xml:space="preserve">musí </w:t>
            </w:r>
            <w:r w:rsidRPr="00DB5A80">
              <w:rPr>
                <w:rFonts w:ascii="Arial" w:eastAsia="Times New Roman" w:hAnsi="Arial" w:cs="Arial"/>
                <w:sz w:val="20"/>
              </w:rPr>
              <w:t>obsah</w:t>
            </w:r>
            <w:r w:rsidR="00A06C59">
              <w:rPr>
                <w:rFonts w:ascii="Arial" w:eastAsia="Times New Roman" w:hAnsi="Arial" w:cs="Arial"/>
                <w:sz w:val="20"/>
              </w:rPr>
              <w:t>ovat</w:t>
            </w:r>
            <w:r w:rsidRPr="00DB5A80">
              <w:rPr>
                <w:rFonts w:ascii="Arial" w:eastAsia="Times New Roman" w:hAnsi="Arial" w:cs="Arial"/>
                <w:sz w:val="20"/>
              </w:rPr>
              <w:t xml:space="preserve"> licence na neomezený počet připojení hostitelských serverů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F538C3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8F4B5B" w14:textId="77777777" w:rsidR="00DB5A80" w:rsidRDefault="00DB5A80" w:rsidP="00DB5A80"/>
        </w:tc>
      </w:tr>
      <w:tr w:rsidR="00DB5A80" w14:paraId="046E0DFC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308" w14:textId="058E05C8" w:rsidR="00DB5A80" w:rsidRPr="004C2681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Správa diskového pole a další dostupné funkcionality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7E55" w14:textId="77777777" w:rsidR="00DB5A80" w:rsidRPr="004C2681" w:rsidRDefault="00DB5A80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SW pro plnohodnotnou správu diskového pole a diskových subsystémů, možnost ovládání </w:t>
            </w:r>
            <w:proofErr w:type="gramStart"/>
            <w:r w:rsidRPr="004C2681">
              <w:rPr>
                <w:rFonts w:ascii="Arial" w:eastAsia="Times New Roman" w:hAnsi="Arial" w:cs="Arial"/>
                <w:sz w:val="20"/>
              </w:rPr>
              <w:t>přes CLI</w:t>
            </w:r>
            <w:proofErr w:type="gramEnd"/>
            <w:r w:rsidRPr="004C2681">
              <w:rPr>
                <w:rFonts w:ascii="Arial" w:eastAsia="Times New Roman" w:hAnsi="Arial" w:cs="Arial"/>
                <w:sz w:val="20"/>
              </w:rPr>
              <w:t xml:space="preserve">, GUI (ze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std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>. web browseru)</w:t>
            </w:r>
          </w:p>
          <w:p w14:paraId="407B50F4" w14:textId="77777777" w:rsidR="00DB5A80" w:rsidRPr="004C2681" w:rsidRDefault="00DB5A80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Remote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Service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(call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home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>) v ceně řešení</w:t>
            </w:r>
          </w:p>
          <w:p w14:paraId="560B54D5" w14:textId="1C7397F8" w:rsidR="00DB5A80" w:rsidRPr="00DB5A80" w:rsidRDefault="00DB5A80" w:rsidP="00A06C59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Příkazy prováděné v GUI </w:t>
            </w:r>
            <w:r w:rsidR="00A06C59">
              <w:rPr>
                <w:rFonts w:ascii="Arial" w:eastAsia="Times New Roman" w:hAnsi="Arial" w:cs="Arial"/>
                <w:sz w:val="20"/>
              </w:rPr>
              <w:t>uchovávány do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"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AuditLogu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>" v podobě standardních CLI příkazů, které lze později snadno zkopírovat a aplikovat při programování uživatelských skriptů např. pro podporu automatizace zálohování atd.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C261CC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2E9099" w14:textId="77777777" w:rsidR="00DB5A80" w:rsidRDefault="00DB5A80" w:rsidP="00DB5A80"/>
        </w:tc>
      </w:tr>
      <w:tr w:rsidR="00DB5A80" w14:paraId="594F6E9D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781" w14:textId="2CC25D9C" w:rsidR="00DB5A80" w:rsidRPr="004C2681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Příslušenství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09" w14:textId="693785CF" w:rsidR="00DB5A80" w:rsidRPr="004C2681" w:rsidRDefault="00DB5A80" w:rsidP="00A06C59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Součástí dodávky </w:t>
            </w:r>
            <w:r w:rsidR="00A06C59">
              <w:rPr>
                <w:rFonts w:ascii="Arial" w:eastAsia="Times New Roman" w:hAnsi="Arial" w:cs="Arial"/>
                <w:sz w:val="20"/>
              </w:rPr>
              <w:t xml:space="preserve">bude </w:t>
            </w:r>
            <w:r w:rsidRPr="004C2681">
              <w:rPr>
                <w:rFonts w:ascii="Arial" w:eastAsia="Times New Roman" w:hAnsi="Arial" w:cs="Arial"/>
                <w:sz w:val="20"/>
              </w:rPr>
              <w:t>veškerá potřebná kabeláž pro plné zapojení všech portů do instalovaného prostředí a potřebná napájecí kabeláž kompatibilní s napájecími lištami v RACK skříních.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520D67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D902DC" w14:textId="77777777" w:rsidR="00DB5A80" w:rsidRDefault="00DB5A80" w:rsidP="00DB5A80"/>
        </w:tc>
      </w:tr>
      <w:tr w:rsidR="00DB5A80" w14:paraId="2CE8E71E" w14:textId="77777777" w:rsidTr="00014707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AE5" w14:textId="0F86996D" w:rsidR="00DB5A80" w:rsidRPr="004C2681" w:rsidRDefault="00DB5A80" w:rsidP="00DB5A80">
            <w:pPr>
              <w:pStyle w:val="Nadpis4"/>
              <w:spacing w:line="276" w:lineRule="auto"/>
              <w:outlineLvl w:val="3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>Servisní podpora</w:t>
            </w:r>
            <w:r w:rsidRPr="004C2681">
              <w:rPr>
                <w:rFonts w:ascii="Arial" w:eastAsia="Times New Roman" w:hAnsi="Arial" w:cs="Arial"/>
                <w:sz w:val="20"/>
              </w:rPr>
              <w:tab/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F478" w14:textId="77777777" w:rsidR="00DB5A80" w:rsidRDefault="00DB5A80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Minimálně </w:t>
            </w:r>
            <w:r>
              <w:rPr>
                <w:rFonts w:ascii="Arial" w:eastAsia="Times New Roman" w:hAnsi="Arial" w:cs="Arial"/>
                <w:sz w:val="20"/>
              </w:rPr>
              <w:t>5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 let; v online režimu </w:t>
            </w:r>
            <w:r w:rsidRPr="008F1443">
              <w:rPr>
                <w:rFonts w:ascii="Arial" w:eastAsia="Times New Roman" w:hAnsi="Arial" w:cs="Arial"/>
                <w:sz w:val="20"/>
              </w:rPr>
              <w:t xml:space="preserve">24x7 </w:t>
            </w:r>
            <w:proofErr w:type="spellStart"/>
            <w:r w:rsidRPr="008F1443">
              <w:rPr>
                <w:rFonts w:ascii="Arial" w:eastAsia="Times New Roman" w:hAnsi="Arial" w:cs="Arial"/>
                <w:sz w:val="20"/>
              </w:rPr>
              <w:t>same</w:t>
            </w:r>
            <w:proofErr w:type="spellEnd"/>
            <w:r w:rsidRPr="008F1443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8F1443">
              <w:rPr>
                <w:rFonts w:ascii="Arial" w:eastAsia="Times New Roman" w:hAnsi="Arial" w:cs="Arial"/>
                <w:sz w:val="20"/>
              </w:rPr>
              <w:t>day</w:t>
            </w:r>
            <w:proofErr w:type="spellEnd"/>
            <w:r w:rsidRPr="008F1443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8F1443">
              <w:rPr>
                <w:rFonts w:ascii="Arial" w:eastAsia="Times New Roman" w:hAnsi="Arial" w:cs="Arial"/>
                <w:sz w:val="20"/>
              </w:rPr>
              <w:t>onsite</w:t>
            </w:r>
            <w:proofErr w:type="spellEnd"/>
            <w:r w:rsidRPr="008F1443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8F1443">
              <w:rPr>
                <w:rFonts w:ascii="Arial" w:eastAsia="Times New Roman" w:hAnsi="Arial" w:cs="Arial"/>
                <w:sz w:val="20"/>
              </w:rPr>
              <w:t>repair</w:t>
            </w:r>
            <w:proofErr w:type="spellEnd"/>
            <w:r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4C2681">
              <w:rPr>
                <w:rFonts w:ascii="Arial" w:eastAsia="Times New Roman" w:hAnsi="Arial" w:cs="Arial"/>
                <w:sz w:val="20"/>
              </w:rPr>
              <w:t xml:space="preserve">včetně SW podpory, která umožňuje např. přístup k novým verzím FW, opravným </w:t>
            </w:r>
            <w:proofErr w:type="spellStart"/>
            <w:r w:rsidRPr="004C2681">
              <w:rPr>
                <w:rFonts w:ascii="Arial" w:eastAsia="Times New Roman" w:hAnsi="Arial" w:cs="Arial"/>
                <w:sz w:val="20"/>
              </w:rPr>
              <w:t>patchům</w:t>
            </w:r>
            <w:proofErr w:type="spellEnd"/>
            <w:r w:rsidRPr="004C2681">
              <w:rPr>
                <w:rFonts w:ascii="Arial" w:eastAsia="Times New Roman" w:hAnsi="Arial" w:cs="Arial"/>
                <w:sz w:val="20"/>
              </w:rPr>
              <w:t xml:space="preserve"> atd.</w:t>
            </w:r>
          </w:p>
          <w:p w14:paraId="59BDC6C5" w14:textId="130766B4" w:rsidR="00A06C59" w:rsidRPr="004C2681" w:rsidRDefault="00A06C59" w:rsidP="00DB5A80">
            <w:pPr>
              <w:spacing w:before="120"/>
              <w:rPr>
                <w:rFonts w:ascii="Arial" w:eastAsia="Times New Roman" w:hAnsi="Arial" w:cs="Arial"/>
                <w:sz w:val="20"/>
              </w:rPr>
            </w:pPr>
            <w:r w:rsidRPr="004C2681">
              <w:rPr>
                <w:rFonts w:ascii="Arial" w:eastAsia="Times New Roman" w:hAnsi="Arial" w:cs="Arial"/>
                <w:sz w:val="20"/>
              </w:rPr>
              <w:t xml:space="preserve">Je požadováno potvrzení od </w:t>
            </w:r>
            <w:r w:rsidRPr="00F17496">
              <w:rPr>
                <w:rFonts w:ascii="Arial" w:eastAsia="Times New Roman" w:hAnsi="Arial" w:cs="Arial"/>
                <w:sz w:val="20"/>
              </w:rPr>
              <w:t>lokálního zastoupení výrobce, že nabízené řešení je určeno pro český (EU) trh a bude servisním střediskem výrobce plně podporováno</w:t>
            </w:r>
            <w:r w:rsidRPr="004C2681">
              <w:rPr>
                <w:rFonts w:ascii="Arial" w:eastAsia="Times New Roman" w:hAnsi="Arial" w:cs="Arial"/>
                <w:sz w:val="20"/>
              </w:rPr>
              <w:t>. Servisní podpora výrobce bude v českém jazyce.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7F5CC4" w14:textId="77777777" w:rsidR="00DB5A80" w:rsidRDefault="00DB5A80" w:rsidP="00DB5A8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16A5F2" w14:textId="77777777" w:rsidR="00DB5A80" w:rsidRDefault="00DB5A80" w:rsidP="00DB5A80"/>
        </w:tc>
      </w:tr>
    </w:tbl>
    <w:p w14:paraId="54BBD029" w14:textId="1F664D6B" w:rsidR="0041777C" w:rsidRDefault="0041777C"/>
    <w:p w14:paraId="442D952D" w14:textId="7AB1CF47" w:rsidR="0041777C" w:rsidRDefault="0041777C" w:rsidP="0041777C"/>
    <w:p w14:paraId="1269D3B4" w14:textId="00EB4C14" w:rsidR="00DB5A80" w:rsidRDefault="00DB5A80" w:rsidP="0041777C"/>
    <w:p w14:paraId="5DD24AC5" w14:textId="678B478C" w:rsidR="00DB5A80" w:rsidRDefault="00DB5A80" w:rsidP="0041777C"/>
    <w:p w14:paraId="6544C54F" w14:textId="1A5266C8" w:rsidR="00DB5A80" w:rsidRDefault="00DB5A80" w:rsidP="0041777C"/>
    <w:p w14:paraId="663DBC87" w14:textId="697677E2" w:rsidR="00DB5A80" w:rsidRDefault="00DB5A80" w:rsidP="0041777C"/>
    <w:p w14:paraId="00E20813" w14:textId="7A5C74C0" w:rsidR="00DB5A80" w:rsidRDefault="00DB5A80" w:rsidP="0041777C"/>
    <w:p w14:paraId="47F7DE44" w14:textId="77777777" w:rsidR="00DB5A80" w:rsidRDefault="00DB5A80" w:rsidP="0041777C"/>
    <w:p w14:paraId="35E5FD15" w14:textId="58B6EBA6" w:rsidR="0041777C" w:rsidRPr="005F61C1" w:rsidRDefault="00D707CA" w:rsidP="00CB2C08">
      <w:pPr>
        <w:pStyle w:val="Nadpis1"/>
        <w:rPr>
          <w:b/>
          <w:sz w:val="44"/>
          <w:szCs w:val="44"/>
        </w:rPr>
      </w:pPr>
      <w:r w:rsidRPr="005F61C1">
        <w:rPr>
          <w:b/>
          <w:sz w:val="44"/>
          <w:szCs w:val="44"/>
        </w:rPr>
        <w:t xml:space="preserve">2x </w:t>
      </w:r>
      <w:r w:rsidR="00A06C59" w:rsidRPr="00A06C59">
        <w:rPr>
          <w:b/>
          <w:sz w:val="44"/>
          <w:szCs w:val="44"/>
        </w:rPr>
        <w:t xml:space="preserve">SAN - </w:t>
      </w:r>
      <w:proofErr w:type="spellStart"/>
      <w:r w:rsidR="00A06C59" w:rsidRPr="00A06C59">
        <w:rPr>
          <w:b/>
          <w:sz w:val="44"/>
          <w:szCs w:val="44"/>
        </w:rPr>
        <w:t>Switch</w:t>
      </w:r>
      <w:proofErr w:type="spellEnd"/>
      <w:r w:rsidR="0041777C" w:rsidRPr="005F61C1">
        <w:rPr>
          <w:b/>
          <w:sz w:val="44"/>
          <w:szCs w:val="44"/>
        </w:rPr>
        <w:t>:</w:t>
      </w:r>
    </w:p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1892"/>
        <w:gridCol w:w="5284"/>
        <w:gridCol w:w="1330"/>
        <w:gridCol w:w="2552"/>
      </w:tblGrid>
      <w:tr w:rsidR="0041777C" w14:paraId="1F79CFA8" w14:textId="77777777" w:rsidTr="00F17496">
        <w:trPr>
          <w:trHeight w:val="1501"/>
        </w:trPr>
        <w:tc>
          <w:tcPr>
            <w:tcW w:w="7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7BD3EB" w14:textId="2F6BA9B0" w:rsidR="0041777C" w:rsidRDefault="00642EF3" w:rsidP="00642E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Minimální technické požadavky na hardware a software, které zadavatel požaduje pro jeden SAN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switch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7DA302" w14:textId="77777777" w:rsidR="0041777C" w:rsidRDefault="0041777C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Požadovaná technická specifikace splněna ANO/ NE</w:t>
            </w:r>
          </w:p>
          <w:p w14:paraId="28E345E4" w14:textId="77777777" w:rsidR="0041777C" w:rsidRDefault="0041777C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FCFE38" w14:textId="77777777" w:rsidR="0041777C" w:rsidRDefault="0041777C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Nabízený produkt, poznámka</w:t>
            </w:r>
          </w:p>
          <w:p w14:paraId="51B17246" w14:textId="77777777" w:rsidR="0041777C" w:rsidRDefault="0041777C" w:rsidP="00F174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41777C" w14:paraId="7CD3044C" w14:textId="77777777" w:rsidTr="00A06C59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2CE9" w14:textId="7607015C" w:rsidR="0041777C" w:rsidRPr="00C25BEF" w:rsidRDefault="00C25BEF" w:rsidP="009A0D53">
            <w:pPr>
              <w:rPr>
                <w:i/>
              </w:rPr>
            </w:pPr>
            <w:r w:rsidRPr="00C25BEF">
              <w:rPr>
                <w:rFonts w:ascii="Calibri" w:eastAsiaTheme="majorEastAsia" w:hAnsi="Calibri" w:cs="Calibri"/>
                <w:i/>
                <w:color w:val="365F91" w:themeColor="accent1" w:themeShade="BF"/>
                <w:sz w:val="24"/>
                <w:szCs w:val="24"/>
              </w:rPr>
              <w:t>Typ zařízení</w:t>
            </w:r>
            <w:r w:rsidR="005F61C1" w:rsidRPr="00C25BEF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1E1" w14:textId="0F44AEC1" w:rsidR="0041777C" w:rsidRPr="00F17496" w:rsidRDefault="00C25BEF" w:rsidP="00C25BEF">
            <w:pPr>
              <w:spacing w:before="120"/>
              <w:rPr>
                <w:sz w:val="18"/>
                <w:szCs w:val="18"/>
              </w:rPr>
            </w:pP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Fibre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F17496">
              <w:rPr>
                <w:rFonts w:ascii="Arial" w:eastAsia="Times New Roman" w:hAnsi="Arial" w:cs="Arial"/>
                <w:sz w:val="20"/>
              </w:rPr>
              <w:t>Channel</w:t>
            </w:r>
            <w:proofErr w:type="spellEnd"/>
            <w:r w:rsidRPr="00F17496">
              <w:rPr>
                <w:rFonts w:ascii="Arial" w:eastAsia="Times New Roman" w:hAnsi="Arial" w:cs="Arial"/>
                <w:sz w:val="20"/>
              </w:rPr>
              <w:t xml:space="preserve"> SAN přepínač, provedení pro instalaci do standardního 19” racku, maximální výška 1U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9ABBEC" w14:textId="77777777" w:rsidR="0041777C" w:rsidRDefault="0041777C" w:rsidP="009A0D5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2815A3" w14:textId="77777777" w:rsidR="0041777C" w:rsidRDefault="0041777C" w:rsidP="009A0D53"/>
        </w:tc>
      </w:tr>
      <w:tr w:rsidR="0041777C" w14:paraId="386CE336" w14:textId="77777777" w:rsidTr="00A06C59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B9F6" w14:textId="3B71804F" w:rsidR="005F61C1" w:rsidRPr="00B21786" w:rsidRDefault="00C25BEF" w:rsidP="005F61C1">
            <w:pPr>
              <w:pStyle w:val="Nadpis4"/>
              <w:spacing w:line="276" w:lineRule="auto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portů</w:t>
            </w:r>
            <w:r w:rsidR="005F61C1" w:rsidRPr="00B21786">
              <w:rPr>
                <w:rFonts w:ascii="Calibri" w:hAnsi="Calibri" w:cs="Calibri"/>
              </w:rPr>
              <w:t>:</w:t>
            </w:r>
          </w:p>
          <w:p w14:paraId="4658E200" w14:textId="41577B1C" w:rsidR="0041777C" w:rsidRDefault="0041777C" w:rsidP="009A0D53"/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030" w14:textId="31C9B194" w:rsidR="0041777C" w:rsidRPr="00F17496" w:rsidRDefault="00C25BEF" w:rsidP="008B299C">
            <w:pPr>
              <w:rPr>
                <w:rFonts w:ascii="Arial" w:eastAsia="Times New Roman" w:hAnsi="Arial" w:cs="Arial"/>
                <w:sz w:val="20"/>
              </w:rPr>
            </w:pPr>
            <w:r w:rsidRPr="00F17496">
              <w:rPr>
                <w:rFonts w:ascii="Arial" w:eastAsia="Times New Roman" w:hAnsi="Arial" w:cs="Arial"/>
                <w:sz w:val="20"/>
              </w:rPr>
              <w:t>24 fyzických portů SFP28 s aktivací minimálně 8 portů.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C4F821" w14:textId="77777777" w:rsidR="0041777C" w:rsidRDefault="0041777C" w:rsidP="009A0D5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6FE9E6" w14:textId="77777777" w:rsidR="0041777C" w:rsidRDefault="0041777C" w:rsidP="009A0D53"/>
        </w:tc>
      </w:tr>
      <w:tr w:rsidR="0041777C" w14:paraId="56915475" w14:textId="77777777" w:rsidTr="00A06C59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F6DB" w14:textId="77777777" w:rsidR="005F61C1" w:rsidRPr="00056B51" w:rsidRDefault="005F61C1" w:rsidP="005F61C1">
            <w:pPr>
              <w:pStyle w:val="Nadpis4"/>
              <w:spacing w:line="276" w:lineRule="auto"/>
              <w:outlineLvl w:val="3"/>
              <w:rPr>
                <w:rFonts w:ascii="Calibri" w:hAnsi="Calibri" w:cs="Calibri"/>
              </w:rPr>
            </w:pPr>
            <w:r w:rsidRPr="00056B51">
              <w:rPr>
                <w:rFonts w:ascii="Calibri" w:hAnsi="Calibri" w:cs="Calibri"/>
              </w:rPr>
              <w:t>Výkonnostní parametry:</w:t>
            </w:r>
          </w:p>
          <w:p w14:paraId="44557379" w14:textId="1B92DAEA" w:rsidR="0041777C" w:rsidRDefault="0041777C" w:rsidP="00311DD8"/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F2B" w14:textId="1CAA24D5" w:rsidR="0041777C" w:rsidRPr="00C25BEF" w:rsidRDefault="003C18F3" w:rsidP="006F3F71">
            <w:pPr>
              <w:rPr>
                <w:rFonts w:ascii="Arial" w:eastAsia="Times New Roman" w:hAnsi="Arial" w:cs="Arial"/>
                <w:sz w:val="20"/>
              </w:rPr>
            </w:pPr>
            <w:r w:rsidRPr="00C25BEF">
              <w:rPr>
                <w:rFonts w:ascii="Arial" w:eastAsia="Times New Roman" w:hAnsi="Arial" w:cs="Arial"/>
                <w:sz w:val="20"/>
              </w:rPr>
              <w:t xml:space="preserve">Podpora </w:t>
            </w:r>
            <w:proofErr w:type="spellStart"/>
            <w:r w:rsidRPr="00C25BEF">
              <w:rPr>
                <w:rFonts w:ascii="Arial" w:eastAsia="Times New Roman" w:hAnsi="Arial" w:cs="Arial"/>
                <w:sz w:val="20"/>
              </w:rPr>
              <w:t>Fibre</w:t>
            </w:r>
            <w:proofErr w:type="spellEnd"/>
            <w:r w:rsidRPr="00C25BEF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C25BEF">
              <w:rPr>
                <w:rFonts w:ascii="Arial" w:eastAsia="Times New Roman" w:hAnsi="Arial" w:cs="Arial"/>
                <w:sz w:val="20"/>
              </w:rPr>
              <w:t>Channel</w:t>
            </w:r>
            <w:proofErr w:type="spellEnd"/>
            <w:r w:rsidRPr="00C25BEF">
              <w:rPr>
                <w:rFonts w:ascii="Arial" w:eastAsia="Times New Roman" w:hAnsi="Arial" w:cs="Arial"/>
                <w:sz w:val="20"/>
              </w:rPr>
              <w:t xml:space="preserve"> rychlostí 4 </w:t>
            </w:r>
            <w:proofErr w:type="spellStart"/>
            <w:r w:rsidRPr="00C25BEF">
              <w:rPr>
                <w:rFonts w:ascii="Arial" w:eastAsia="Times New Roman" w:hAnsi="Arial" w:cs="Arial"/>
                <w:sz w:val="20"/>
              </w:rPr>
              <w:t>Gbps</w:t>
            </w:r>
            <w:proofErr w:type="spellEnd"/>
            <w:r w:rsidRPr="00C25BEF">
              <w:rPr>
                <w:rFonts w:ascii="Arial" w:eastAsia="Times New Roman" w:hAnsi="Arial" w:cs="Arial"/>
                <w:sz w:val="20"/>
              </w:rPr>
              <w:t xml:space="preserve">, 8 </w:t>
            </w:r>
            <w:proofErr w:type="spellStart"/>
            <w:r w:rsidRPr="00C25BEF">
              <w:rPr>
                <w:rFonts w:ascii="Arial" w:eastAsia="Times New Roman" w:hAnsi="Arial" w:cs="Arial"/>
                <w:sz w:val="20"/>
              </w:rPr>
              <w:t>Gbps</w:t>
            </w:r>
            <w:proofErr w:type="spellEnd"/>
            <w:r w:rsidRPr="00C25BEF">
              <w:rPr>
                <w:rFonts w:ascii="Arial" w:eastAsia="Times New Roman" w:hAnsi="Arial" w:cs="Arial"/>
                <w:sz w:val="20"/>
              </w:rPr>
              <w:t xml:space="preserve">, 16 </w:t>
            </w:r>
            <w:proofErr w:type="spellStart"/>
            <w:r w:rsidRPr="00C25BEF">
              <w:rPr>
                <w:rFonts w:ascii="Arial" w:eastAsia="Times New Roman" w:hAnsi="Arial" w:cs="Arial"/>
                <w:sz w:val="20"/>
              </w:rPr>
              <w:t>Gbps</w:t>
            </w:r>
            <w:proofErr w:type="spellEnd"/>
            <w:r w:rsidRPr="00C25BEF">
              <w:rPr>
                <w:rFonts w:ascii="Arial" w:eastAsia="Times New Roman" w:hAnsi="Arial" w:cs="Arial"/>
                <w:sz w:val="20"/>
              </w:rPr>
              <w:t xml:space="preserve"> a 32 </w:t>
            </w:r>
            <w:proofErr w:type="spellStart"/>
            <w:r w:rsidRPr="00C25BEF">
              <w:rPr>
                <w:rFonts w:ascii="Arial" w:eastAsia="Times New Roman" w:hAnsi="Arial" w:cs="Arial"/>
                <w:sz w:val="20"/>
              </w:rPr>
              <w:t>Gbps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BBBFAB" w14:textId="77777777" w:rsidR="0041777C" w:rsidRDefault="0041777C" w:rsidP="009A0D5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B4BBB1" w14:textId="77777777" w:rsidR="0041777C" w:rsidRDefault="0041777C" w:rsidP="009A0D53"/>
        </w:tc>
      </w:tr>
      <w:tr w:rsidR="0041777C" w14:paraId="3AD537B1" w14:textId="77777777" w:rsidTr="00624496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0092" w14:textId="4AB62E37" w:rsidR="0041777C" w:rsidRDefault="00C25BEF" w:rsidP="00311DD8">
            <w:r w:rsidRPr="00C25BEF">
              <w:rPr>
                <w:rFonts w:ascii="Calibri" w:eastAsiaTheme="majorEastAsia" w:hAnsi="Calibri" w:cs="Calibri"/>
                <w:i/>
                <w:iCs/>
                <w:color w:val="365F91" w:themeColor="accent1" w:themeShade="BF"/>
                <w:sz w:val="24"/>
                <w:szCs w:val="24"/>
              </w:rPr>
              <w:t>Rozšiřitelnost</w:t>
            </w:r>
            <w:r w:rsidR="00337A2B" w:rsidRPr="00E71F73">
              <w:rPr>
                <w:rFonts w:ascii="Calibri" w:eastAsiaTheme="majorEastAsia" w:hAnsi="Calibri" w:cs="Calibri"/>
                <w:i/>
                <w:iCs/>
                <w:color w:val="365F91" w:themeColor="accent1" w:themeShade="BF"/>
                <w:sz w:val="24"/>
                <w:szCs w:val="24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A260" w14:textId="466ADBE3" w:rsidR="00311DD8" w:rsidRPr="00C25BEF" w:rsidRDefault="00C25BEF" w:rsidP="006F3F71">
            <w:pPr>
              <w:rPr>
                <w:rFonts w:ascii="Arial" w:eastAsia="Times New Roman" w:hAnsi="Arial" w:cs="Arial"/>
                <w:sz w:val="20"/>
              </w:rPr>
            </w:pPr>
            <w:r w:rsidRPr="00C25BEF">
              <w:rPr>
                <w:rFonts w:ascii="Arial" w:eastAsia="Times New Roman" w:hAnsi="Arial" w:cs="Arial"/>
                <w:sz w:val="20"/>
              </w:rPr>
              <w:t>Možnost rozšíření počtu aktivovaných portů pomocí licencí až na plnou kapacitu 24 portů.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AE25B3" w14:textId="77777777" w:rsidR="0041777C" w:rsidRDefault="0041777C" w:rsidP="009A0D5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E92249" w14:textId="77777777" w:rsidR="0041777C" w:rsidRDefault="0041777C" w:rsidP="009A0D53"/>
        </w:tc>
      </w:tr>
      <w:tr w:rsidR="0041777C" w14:paraId="0D52C150" w14:textId="77777777" w:rsidTr="00A06C59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DCE" w14:textId="0897B2DE" w:rsidR="0041777C" w:rsidRPr="008B2284" w:rsidRDefault="00C25BEF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C25BEF">
              <w:rPr>
                <w:rFonts w:ascii="Helvetica Neue" w:hAnsi="Helvetica Neue"/>
                <w:sz w:val="22"/>
                <w:szCs w:val="22"/>
              </w:rPr>
              <w:t>Další porty</w:t>
            </w:r>
            <w:r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103" w14:textId="4169CB62" w:rsidR="0041777C" w:rsidRPr="00C25BEF" w:rsidRDefault="00C25BEF" w:rsidP="008B299C">
            <w:pPr>
              <w:rPr>
                <w:rFonts w:ascii="Arial" w:eastAsia="Times New Roman" w:hAnsi="Arial" w:cs="Arial"/>
                <w:sz w:val="20"/>
              </w:rPr>
            </w:pPr>
            <w:r w:rsidRPr="00C25BEF">
              <w:rPr>
                <w:rFonts w:ascii="Arial" w:eastAsia="Times New Roman" w:hAnsi="Arial" w:cs="Arial"/>
                <w:sz w:val="20"/>
              </w:rPr>
              <w:t xml:space="preserve">Zařízení musí být vybaveno USB portem, </w:t>
            </w:r>
            <w:proofErr w:type="spellStart"/>
            <w:r w:rsidRPr="00C25BEF">
              <w:rPr>
                <w:rFonts w:ascii="Arial" w:eastAsia="Times New Roman" w:hAnsi="Arial" w:cs="Arial"/>
                <w:sz w:val="20"/>
              </w:rPr>
              <w:t>ethernetovým</w:t>
            </w:r>
            <w:proofErr w:type="spellEnd"/>
            <w:r w:rsidRPr="00C25BEF">
              <w:rPr>
                <w:rFonts w:ascii="Arial" w:eastAsia="Times New Roman" w:hAnsi="Arial" w:cs="Arial"/>
                <w:sz w:val="20"/>
              </w:rPr>
              <w:t xml:space="preserve"> a konzolovým portem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41B89D" w14:textId="77777777" w:rsidR="0041777C" w:rsidRDefault="0041777C" w:rsidP="009A0D5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5447CA" w14:textId="77777777" w:rsidR="0041777C" w:rsidRDefault="0041777C" w:rsidP="009A0D53"/>
        </w:tc>
      </w:tr>
      <w:tr w:rsidR="003D1D2A" w14:paraId="21D497BA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0D8" w14:textId="049F2884" w:rsidR="003D1D2A" w:rsidRPr="00E93A65" w:rsidRDefault="00450EC3" w:rsidP="008B2284">
            <w:pPr>
              <w:pStyle w:val="Nadpis4"/>
              <w:outlineLvl w:val="3"/>
            </w:pPr>
            <w:r w:rsidRPr="00450EC3">
              <w:rPr>
                <w:rFonts w:ascii="Helvetica Neue" w:hAnsi="Helvetica Neue"/>
                <w:sz w:val="22"/>
                <w:szCs w:val="22"/>
              </w:rPr>
              <w:t>Latence na SAN portech</w:t>
            </w:r>
            <w:r w:rsidR="008B2284"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80B" w14:textId="439FC520" w:rsidR="003D1D2A" w:rsidRPr="00C25BEF" w:rsidRDefault="00450EC3" w:rsidP="00450EC3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M</w:t>
            </w:r>
            <w:r w:rsidRPr="00450EC3">
              <w:rPr>
                <w:rFonts w:ascii="Arial" w:eastAsia="Times New Roman" w:hAnsi="Arial" w:cs="Arial"/>
                <w:sz w:val="20"/>
              </w:rPr>
              <w:t>ax</w:t>
            </w:r>
            <w:r>
              <w:rPr>
                <w:rFonts w:ascii="Arial" w:eastAsia="Times New Roman" w:hAnsi="Arial" w:cs="Arial"/>
                <w:sz w:val="20"/>
              </w:rPr>
              <w:t>imálně</w:t>
            </w:r>
            <w:r w:rsidRPr="00450EC3">
              <w:rPr>
                <w:rFonts w:ascii="Arial" w:eastAsia="Times New Roman" w:hAnsi="Arial" w:cs="Arial"/>
                <w:sz w:val="20"/>
              </w:rPr>
              <w:t xml:space="preserve"> 900 nanosekund (v rámci 32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Gb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 FC)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1C6536" w14:textId="77777777" w:rsidR="003D1D2A" w:rsidRDefault="003D1D2A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3B2F2" w14:textId="77777777" w:rsidR="003D1D2A" w:rsidRDefault="003D1D2A" w:rsidP="003D1D2A"/>
        </w:tc>
      </w:tr>
      <w:tr w:rsidR="003D1D2A" w14:paraId="730EF011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0EC" w14:textId="6F7DD524" w:rsidR="003D1D2A" w:rsidRPr="008B2284" w:rsidRDefault="00450EC3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450EC3">
              <w:rPr>
                <w:rFonts w:ascii="Helvetica Neue" w:hAnsi="Helvetica Neue"/>
                <w:sz w:val="22"/>
                <w:szCs w:val="22"/>
              </w:rPr>
              <w:t>Agregovaná kapacita přepínače</w:t>
            </w:r>
            <w:r w:rsidR="008B2284"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D7D" w14:textId="154DD314" w:rsidR="003D1D2A" w:rsidRPr="00C25BEF" w:rsidRDefault="00450EC3" w:rsidP="003D1D2A">
            <w:pPr>
              <w:rPr>
                <w:rFonts w:ascii="Arial" w:eastAsia="Times New Roman" w:hAnsi="Arial" w:cs="Arial"/>
                <w:sz w:val="20"/>
              </w:rPr>
            </w:pPr>
            <w:r w:rsidRPr="00450EC3">
              <w:rPr>
                <w:rFonts w:ascii="Arial" w:eastAsia="Times New Roman" w:hAnsi="Arial" w:cs="Arial"/>
                <w:sz w:val="20"/>
              </w:rPr>
              <w:t xml:space="preserve">Minimálně 760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Gbps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F392A3" w14:textId="77777777" w:rsidR="003D1D2A" w:rsidRDefault="003D1D2A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D42F8" w14:textId="77777777" w:rsidR="003D1D2A" w:rsidRDefault="003D1D2A" w:rsidP="003D1D2A"/>
        </w:tc>
      </w:tr>
      <w:tr w:rsidR="006C2A17" w14:paraId="2FB12E7F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590" w14:textId="4A4005B1" w:rsidR="006C2A17" w:rsidRPr="00450EC3" w:rsidRDefault="006C2A17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6C2A17">
              <w:rPr>
                <w:rFonts w:ascii="Helvetica Neue" w:hAnsi="Helvetica Neue"/>
                <w:sz w:val="22"/>
                <w:szCs w:val="22"/>
              </w:rPr>
              <w:t>Zajištění vysoké dostupnosti</w:t>
            </w:r>
            <w:r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495C" w14:textId="77777777" w:rsidR="006C2A17" w:rsidRDefault="006C2A17" w:rsidP="003D1D2A">
            <w:pPr>
              <w:rPr>
                <w:rFonts w:ascii="Arial" w:eastAsia="Times New Roman" w:hAnsi="Arial" w:cs="Arial"/>
                <w:sz w:val="20"/>
              </w:rPr>
            </w:pPr>
            <w:r w:rsidRPr="006C2A17">
              <w:rPr>
                <w:rFonts w:ascii="Arial" w:eastAsia="Times New Roman" w:hAnsi="Arial" w:cs="Arial"/>
                <w:sz w:val="20"/>
              </w:rPr>
              <w:t xml:space="preserve">Podpora vytváření redundantních SAN </w:t>
            </w:r>
            <w:proofErr w:type="spellStart"/>
            <w:r w:rsidRPr="006C2A17">
              <w:rPr>
                <w:rFonts w:ascii="Arial" w:eastAsia="Times New Roman" w:hAnsi="Arial" w:cs="Arial"/>
                <w:sz w:val="20"/>
              </w:rPr>
              <w:t>fabric</w:t>
            </w:r>
            <w:proofErr w:type="spellEnd"/>
            <w:r w:rsidRPr="006C2A17">
              <w:rPr>
                <w:rFonts w:ascii="Arial" w:eastAsia="Times New Roman" w:hAnsi="Arial" w:cs="Arial"/>
                <w:sz w:val="20"/>
              </w:rPr>
              <w:t xml:space="preserve"> struktur (např. ISL – Inter </w:t>
            </w:r>
            <w:proofErr w:type="spellStart"/>
            <w:r w:rsidRPr="006C2A17">
              <w:rPr>
                <w:rFonts w:ascii="Arial" w:eastAsia="Times New Roman" w:hAnsi="Arial" w:cs="Arial"/>
                <w:sz w:val="20"/>
              </w:rPr>
              <w:t>Switch</w:t>
            </w:r>
            <w:proofErr w:type="spellEnd"/>
            <w:r w:rsidRPr="006C2A17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6C2A17">
              <w:rPr>
                <w:rFonts w:ascii="Arial" w:eastAsia="Times New Roman" w:hAnsi="Arial" w:cs="Arial"/>
                <w:sz w:val="20"/>
              </w:rPr>
              <w:t>Links</w:t>
            </w:r>
            <w:proofErr w:type="spellEnd"/>
            <w:r w:rsidRPr="006C2A17">
              <w:rPr>
                <w:rFonts w:ascii="Arial" w:eastAsia="Times New Roman" w:hAnsi="Arial" w:cs="Arial"/>
                <w:sz w:val="20"/>
              </w:rPr>
              <w:t>).</w:t>
            </w:r>
          </w:p>
          <w:p w14:paraId="2A5FED18" w14:textId="1DFB1538" w:rsidR="006C2A17" w:rsidRPr="00450EC3" w:rsidRDefault="006C2A17" w:rsidP="003D1D2A">
            <w:pPr>
              <w:rPr>
                <w:rFonts w:ascii="Arial" w:eastAsia="Times New Roman" w:hAnsi="Arial" w:cs="Arial"/>
                <w:sz w:val="20"/>
              </w:rPr>
            </w:pPr>
            <w:r w:rsidRPr="006C2A17">
              <w:rPr>
                <w:rFonts w:ascii="Arial" w:eastAsia="Times New Roman" w:hAnsi="Arial" w:cs="Arial"/>
                <w:sz w:val="20"/>
              </w:rPr>
              <w:t xml:space="preserve">Podpora technologií </w:t>
            </w:r>
            <w:proofErr w:type="spellStart"/>
            <w:r w:rsidRPr="006C2A17">
              <w:rPr>
                <w:rFonts w:ascii="Arial" w:eastAsia="Times New Roman" w:hAnsi="Arial" w:cs="Arial"/>
                <w:sz w:val="20"/>
              </w:rPr>
              <w:t>zoning</w:t>
            </w:r>
            <w:proofErr w:type="spellEnd"/>
            <w:r w:rsidRPr="006C2A17">
              <w:rPr>
                <w:rFonts w:ascii="Arial" w:eastAsia="Times New Roman" w:hAnsi="Arial" w:cs="Arial"/>
                <w:sz w:val="20"/>
              </w:rPr>
              <w:t xml:space="preserve"> a VSAN.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178C02" w14:textId="77777777" w:rsidR="006C2A17" w:rsidRDefault="006C2A17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2FDD8" w14:textId="77777777" w:rsidR="006C2A17" w:rsidRDefault="006C2A17" w:rsidP="003D1D2A"/>
        </w:tc>
      </w:tr>
      <w:tr w:rsidR="003D1D2A" w14:paraId="37F42359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55B" w14:textId="31A437BB" w:rsidR="008B2284" w:rsidRPr="00FB42A0" w:rsidRDefault="003C18F3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Napájení</w:t>
            </w:r>
            <w:r w:rsidR="008B2284">
              <w:rPr>
                <w:rFonts w:ascii="Helvetica Neue" w:hAnsi="Helvetica Neue"/>
                <w:sz w:val="22"/>
                <w:szCs w:val="22"/>
              </w:rPr>
              <w:t>:</w:t>
            </w:r>
          </w:p>
          <w:p w14:paraId="5D9085C7" w14:textId="1A8F8593" w:rsidR="003D1D2A" w:rsidRPr="00E93A65" w:rsidRDefault="003D1D2A" w:rsidP="003D1D2A"/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F62" w14:textId="17BA6F2D" w:rsidR="003D1D2A" w:rsidRPr="003C18F3" w:rsidRDefault="003C18F3" w:rsidP="003D1D2A">
            <w:pPr>
              <w:rPr>
                <w:rFonts w:ascii="Arial" w:eastAsia="Times New Roman" w:hAnsi="Arial" w:cs="Arial"/>
                <w:sz w:val="20"/>
              </w:rPr>
            </w:pPr>
            <w:r w:rsidRPr="003C18F3">
              <w:rPr>
                <w:rFonts w:ascii="Arial" w:eastAsia="Times New Roman" w:hAnsi="Arial" w:cs="Arial"/>
                <w:sz w:val="20"/>
              </w:rPr>
              <w:t>Zařízení musí být vybaveno dvěma redundantními hot-swap napájecími zdroji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1A0F25" w14:textId="77777777" w:rsidR="003D1D2A" w:rsidRDefault="003D1D2A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C3CF4B" w14:textId="77777777" w:rsidR="003D1D2A" w:rsidRDefault="003D1D2A" w:rsidP="003D1D2A"/>
        </w:tc>
      </w:tr>
      <w:tr w:rsidR="003D1D2A" w14:paraId="46F19FA1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4BE" w14:textId="574B384B" w:rsidR="003D1D2A" w:rsidRPr="00450EC3" w:rsidRDefault="003C18F3" w:rsidP="003D1D2A">
            <w:pPr>
              <w:rPr>
                <w:rFonts w:ascii="Arial" w:eastAsia="Times New Roman" w:hAnsi="Arial" w:cs="Arial"/>
                <w:sz w:val="20"/>
              </w:rPr>
            </w:pPr>
            <w:r w:rsidRPr="00450EC3">
              <w:rPr>
                <w:rFonts w:ascii="Helvetica Neue" w:eastAsiaTheme="majorEastAsia" w:hAnsi="Helvetica Neue" w:cstheme="majorBidi"/>
                <w:i/>
                <w:iCs/>
                <w:color w:val="365F91" w:themeColor="accent1" w:themeShade="BF"/>
              </w:rPr>
              <w:t>Příslušenství: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41D" w14:textId="66E86B9E" w:rsidR="003D1D2A" w:rsidRDefault="003C18F3" w:rsidP="003D1D2A">
            <w:pPr>
              <w:rPr>
                <w:rFonts w:ascii="Arial" w:eastAsia="Times New Roman" w:hAnsi="Arial" w:cs="Arial"/>
                <w:sz w:val="20"/>
              </w:rPr>
            </w:pPr>
            <w:r w:rsidRPr="003C18F3">
              <w:rPr>
                <w:rFonts w:ascii="Arial" w:eastAsia="Times New Roman" w:hAnsi="Arial" w:cs="Arial"/>
                <w:sz w:val="20"/>
              </w:rPr>
              <w:t>Transceivery</w:t>
            </w:r>
          </w:p>
          <w:p w14:paraId="1DA06FA9" w14:textId="77777777" w:rsidR="00450EC3" w:rsidRPr="00450EC3" w:rsidRDefault="00450EC3" w:rsidP="00450EC3">
            <w:pPr>
              <w:rPr>
                <w:rFonts w:ascii="Arial" w:eastAsia="Times New Roman" w:hAnsi="Arial" w:cs="Arial"/>
                <w:sz w:val="20"/>
              </w:rPr>
            </w:pPr>
            <w:r w:rsidRPr="00450EC3">
              <w:rPr>
                <w:rFonts w:ascii="Arial" w:eastAsia="Times New Roman" w:hAnsi="Arial" w:cs="Arial"/>
                <w:sz w:val="20"/>
              </w:rPr>
              <w:t>8× SFP28 optický transceiver 32Gbps SW (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Short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Wavelength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) pro každý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switch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, </w:t>
            </w:r>
          </w:p>
          <w:p w14:paraId="2EE862DD" w14:textId="77777777" w:rsidR="00450EC3" w:rsidRPr="00450EC3" w:rsidRDefault="00450EC3" w:rsidP="00450EC3">
            <w:pPr>
              <w:rPr>
                <w:rFonts w:ascii="Arial" w:eastAsia="Times New Roman" w:hAnsi="Arial" w:cs="Arial"/>
                <w:sz w:val="20"/>
              </w:rPr>
            </w:pPr>
            <w:r w:rsidRPr="00450EC3">
              <w:rPr>
                <w:rFonts w:ascii="Arial" w:eastAsia="Times New Roman" w:hAnsi="Arial" w:cs="Arial"/>
                <w:sz w:val="20"/>
              </w:rPr>
              <w:t>1x SFP28 optický transceiver 32Gbps  LW (Long 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Wavelength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), pro každý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switch</w:t>
            </w:r>
            <w:proofErr w:type="spellEnd"/>
          </w:p>
          <w:p w14:paraId="7D7571EC" w14:textId="77777777" w:rsidR="00450EC3" w:rsidRDefault="00450EC3" w:rsidP="003D1D2A">
            <w:pPr>
              <w:rPr>
                <w:rFonts w:ascii="Arial" w:eastAsia="Times New Roman" w:hAnsi="Arial" w:cs="Arial"/>
                <w:sz w:val="20"/>
              </w:rPr>
            </w:pPr>
          </w:p>
          <w:p w14:paraId="027D5710" w14:textId="77777777" w:rsidR="00450EC3" w:rsidRPr="00450EC3" w:rsidRDefault="00450EC3" w:rsidP="003D1D2A">
            <w:pPr>
              <w:rPr>
                <w:rFonts w:ascii="Arial" w:eastAsia="Times New Roman" w:hAnsi="Arial" w:cs="Arial"/>
                <w:sz w:val="20"/>
              </w:rPr>
            </w:pPr>
            <w:r w:rsidRPr="00450EC3">
              <w:rPr>
                <w:rFonts w:ascii="Arial" w:eastAsia="Times New Roman" w:hAnsi="Arial" w:cs="Arial"/>
                <w:sz w:val="20"/>
              </w:rPr>
              <w:t>Optické kabely:</w:t>
            </w:r>
          </w:p>
          <w:p w14:paraId="1D81B0C5" w14:textId="77777777" w:rsidR="00450EC3" w:rsidRPr="00450EC3" w:rsidRDefault="00450EC3" w:rsidP="00450EC3">
            <w:pPr>
              <w:rPr>
                <w:rFonts w:ascii="Arial" w:eastAsia="Times New Roman" w:hAnsi="Arial" w:cs="Arial"/>
                <w:sz w:val="20"/>
              </w:rPr>
            </w:pPr>
            <w:r w:rsidRPr="00450EC3">
              <w:rPr>
                <w:rFonts w:ascii="Arial" w:eastAsia="Times New Roman" w:hAnsi="Arial" w:cs="Arial"/>
                <w:sz w:val="20"/>
              </w:rPr>
              <w:t xml:space="preserve">Dodání optické kabeláže pro připojení všech komponent dle schématu, délek dle reálných potřeb při realizaci v rámci jedné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serverovny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 -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MultiMode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 LC-LC duplex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patchcordy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>, min. OM3</w:t>
            </w:r>
          </w:p>
          <w:p w14:paraId="1366148B" w14:textId="55218878" w:rsidR="00450EC3" w:rsidRPr="003C18F3" w:rsidRDefault="00450EC3" w:rsidP="003D1D2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2ED1F7" w14:textId="77777777" w:rsidR="003D1D2A" w:rsidRDefault="003D1D2A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39D6C8" w14:textId="77777777" w:rsidR="003D1D2A" w:rsidRDefault="003D1D2A" w:rsidP="003D1D2A"/>
        </w:tc>
      </w:tr>
      <w:tr w:rsidR="008B2284" w14:paraId="27C04FF9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FBE" w14:textId="34E326AD" w:rsidR="008B2284" w:rsidRPr="008B2284" w:rsidRDefault="00BD3F97" w:rsidP="008B2284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</w:rPr>
              <w:t>Kompatibilita</w:t>
            </w:r>
            <w:r w:rsidR="008B2284">
              <w:rPr>
                <w:rFonts w:ascii="Helvetica Neue" w:hAnsi="Helvetica Neue"/>
                <w:sz w:val="22"/>
                <w:szCs w:val="22"/>
              </w:rPr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1703" w14:textId="28617693" w:rsidR="008B2284" w:rsidRPr="00C25BEF" w:rsidRDefault="003C18F3" w:rsidP="003C18F3">
            <w:pPr>
              <w:rPr>
                <w:rFonts w:ascii="Arial" w:eastAsia="Times New Roman" w:hAnsi="Arial" w:cs="Arial"/>
                <w:sz w:val="20"/>
              </w:rPr>
            </w:pPr>
            <w:r w:rsidRPr="00BD3F97">
              <w:rPr>
                <w:rFonts w:ascii="Arial" w:eastAsia="Times New Roman" w:hAnsi="Arial" w:cs="Arial"/>
                <w:sz w:val="20"/>
              </w:rPr>
              <w:t xml:space="preserve">Zařízení musí být </w:t>
            </w:r>
            <w:r>
              <w:rPr>
                <w:rFonts w:ascii="Arial" w:eastAsia="Times New Roman" w:hAnsi="Arial" w:cs="Arial"/>
                <w:sz w:val="20"/>
              </w:rPr>
              <w:t>plně kompatibilní s dodanými diskovými poli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63CC31" w14:textId="77777777" w:rsidR="008B2284" w:rsidRDefault="008B2284" w:rsidP="003D1D2A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D6889" w14:textId="77777777" w:rsidR="008B2284" w:rsidRDefault="008B2284" w:rsidP="003D1D2A"/>
        </w:tc>
      </w:tr>
      <w:tr w:rsidR="00014707" w14:paraId="7C920520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647" w14:textId="36AFF7DA" w:rsidR="00014707" w:rsidRPr="00730F6A" w:rsidRDefault="003C18F3" w:rsidP="00014707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>
              <w:t>Management</w:t>
            </w:r>
            <w:r w:rsidR="00014707" w:rsidRPr="00BD26F3">
              <w:t>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93F" w14:textId="3798A1C8" w:rsidR="00014707" w:rsidRPr="00C25BEF" w:rsidRDefault="003C18F3" w:rsidP="00450EC3">
            <w:pPr>
              <w:rPr>
                <w:rFonts w:ascii="Arial" w:eastAsia="Times New Roman" w:hAnsi="Arial" w:cs="Arial"/>
                <w:sz w:val="20"/>
              </w:rPr>
            </w:pPr>
            <w:r w:rsidRPr="003C18F3">
              <w:rPr>
                <w:rFonts w:ascii="Arial" w:eastAsia="Times New Roman" w:hAnsi="Arial" w:cs="Arial"/>
                <w:sz w:val="20"/>
              </w:rPr>
              <w:t xml:space="preserve">Zařízení </w:t>
            </w:r>
            <w:proofErr w:type="gramStart"/>
            <w:r w:rsidRPr="003C18F3">
              <w:rPr>
                <w:rFonts w:ascii="Arial" w:eastAsia="Times New Roman" w:hAnsi="Arial" w:cs="Arial"/>
                <w:sz w:val="20"/>
              </w:rPr>
              <w:t>musí</w:t>
            </w:r>
            <w:proofErr w:type="gramEnd"/>
            <w:r w:rsidRPr="003C18F3">
              <w:rPr>
                <w:rFonts w:ascii="Arial" w:eastAsia="Times New Roman" w:hAnsi="Arial" w:cs="Arial"/>
                <w:sz w:val="20"/>
              </w:rPr>
              <w:t xml:space="preserve"> umožňovat správu přes </w:t>
            </w:r>
            <w:proofErr w:type="gramStart"/>
            <w:r w:rsidRPr="003C18F3">
              <w:rPr>
                <w:rFonts w:ascii="Arial" w:eastAsia="Times New Roman" w:hAnsi="Arial" w:cs="Arial"/>
                <w:sz w:val="20"/>
              </w:rPr>
              <w:t>CLI</w:t>
            </w:r>
            <w:proofErr w:type="gramEnd"/>
            <w:r w:rsidRPr="003C18F3">
              <w:rPr>
                <w:rFonts w:ascii="Arial" w:eastAsia="Times New Roman" w:hAnsi="Arial" w:cs="Arial"/>
                <w:sz w:val="20"/>
              </w:rPr>
              <w:t>, webové rozhraní a protokol SNMP</w:t>
            </w:r>
            <w:r>
              <w:rPr>
                <w:rFonts w:ascii="Arial" w:eastAsia="Times New Roman" w:hAnsi="Arial" w:cs="Arial"/>
                <w:sz w:val="20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A019E4" w14:textId="77777777" w:rsidR="00014707" w:rsidRDefault="00014707" w:rsidP="0001470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0DF58D" w14:textId="77777777" w:rsidR="00014707" w:rsidRDefault="00014707" w:rsidP="00014707"/>
        </w:tc>
      </w:tr>
      <w:tr w:rsidR="00014707" w14:paraId="5DB33B02" w14:textId="77777777" w:rsidTr="00624496">
        <w:trPr>
          <w:trHeight w:val="36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FFB4" w14:textId="631EB03D" w:rsidR="00014707" w:rsidRPr="00730F6A" w:rsidRDefault="00014707" w:rsidP="00014707">
            <w:pPr>
              <w:pStyle w:val="Nadpis4"/>
              <w:outlineLvl w:val="3"/>
              <w:rPr>
                <w:rFonts w:ascii="Helvetica Neue" w:hAnsi="Helvetica Neue"/>
                <w:sz w:val="22"/>
                <w:szCs w:val="22"/>
              </w:rPr>
            </w:pPr>
            <w:r w:rsidRPr="00BD26F3">
              <w:t>Záruka a servisní pokrytí: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CF3" w14:textId="77777777" w:rsidR="00450EC3" w:rsidRDefault="00450EC3" w:rsidP="008B299C">
            <w:pPr>
              <w:rPr>
                <w:rFonts w:ascii="Arial" w:eastAsia="Times New Roman" w:hAnsi="Arial" w:cs="Arial"/>
                <w:sz w:val="20"/>
              </w:rPr>
            </w:pPr>
            <w:r w:rsidRPr="00450EC3">
              <w:rPr>
                <w:rFonts w:ascii="Arial" w:eastAsia="Times New Roman" w:hAnsi="Arial" w:cs="Arial"/>
                <w:sz w:val="20"/>
              </w:rPr>
              <w:t xml:space="preserve">Poskytnutí základní podpory na dobu pěti (5) let </w:t>
            </w:r>
          </w:p>
          <w:p w14:paraId="19E53A73" w14:textId="0BA1BC04" w:rsidR="00BD3F97" w:rsidRDefault="00BD3F97" w:rsidP="008B299C">
            <w:pPr>
              <w:rPr>
                <w:rFonts w:ascii="Arial" w:eastAsia="Times New Roman" w:hAnsi="Arial" w:cs="Arial"/>
                <w:sz w:val="20"/>
              </w:rPr>
            </w:pPr>
            <w:r w:rsidRPr="00BD3F97">
              <w:rPr>
                <w:rFonts w:ascii="Arial" w:eastAsia="Times New Roman" w:hAnsi="Arial" w:cs="Arial"/>
                <w:sz w:val="20"/>
              </w:rPr>
              <w:t>Podpora musí zahrnovat opravy hardwaru, aktualizace firmware a přístup k technické podpoře výrobce</w:t>
            </w:r>
          </w:p>
          <w:p w14:paraId="56B69076" w14:textId="61F25583" w:rsidR="00450EC3" w:rsidRPr="00BD3F97" w:rsidRDefault="00450EC3" w:rsidP="008B299C">
            <w:pPr>
              <w:rPr>
                <w:rFonts w:ascii="Arial" w:eastAsia="Times New Roman" w:hAnsi="Arial" w:cs="Arial"/>
                <w:sz w:val="20"/>
              </w:rPr>
            </w:pPr>
            <w:r w:rsidRPr="00450EC3">
              <w:rPr>
                <w:rFonts w:ascii="Arial" w:eastAsia="Times New Roman" w:hAnsi="Arial" w:cs="Arial"/>
                <w:sz w:val="20"/>
              </w:rPr>
              <w:t xml:space="preserve">Servisní reakce: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Next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 Business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Day</w:t>
            </w:r>
            <w:proofErr w:type="spellEnd"/>
            <w:r w:rsidRPr="00450EC3">
              <w:rPr>
                <w:rFonts w:ascii="Arial" w:eastAsia="Times New Roman" w:hAnsi="Arial" w:cs="Arial"/>
                <w:sz w:val="20"/>
              </w:rPr>
              <w:t xml:space="preserve"> (NBD) </w:t>
            </w:r>
            <w:proofErr w:type="spellStart"/>
            <w:r w:rsidRPr="00450EC3">
              <w:rPr>
                <w:rFonts w:ascii="Arial" w:eastAsia="Times New Roman" w:hAnsi="Arial" w:cs="Arial"/>
                <w:sz w:val="20"/>
              </w:rPr>
              <w:t>onsite</w:t>
            </w:r>
            <w:proofErr w:type="spellEnd"/>
          </w:p>
          <w:p w14:paraId="5AA14FDD" w14:textId="34D2E699" w:rsidR="00BD3F97" w:rsidRPr="00C25BEF" w:rsidRDefault="00BD3F97" w:rsidP="008B299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1C951" w14:textId="77777777" w:rsidR="00014707" w:rsidRDefault="00014707" w:rsidP="0001470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15282F" w14:textId="77777777" w:rsidR="00014707" w:rsidRDefault="00014707" w:rsidP="00014707"/>
        </w:tc>
      </w:tr>
    </w:tbl>
    <w:p w14:paraId="7596887C" w14:textId="1728515A" w:rsidR="0037234B" w:rsidRDefault="0037234B" w:rsidP="0037234B"/>
    <w:p w14:paraId="00C5A797" w14:textId="39BB00AE" w:rsidR="00611F55" w:rsidRDefault="00611F55" w:rsidP="0037234B"/>
    <w:p w14:paraId="5615EF39" w14:textId="2287451C" w:rsidR="00611F55" w:rsidRDefault="00611F55" w:rsidP="0037234B"/>
    <w:p w14:paraId="3A731020" w14:textId="6B3E6401" w:rsidR="00611F55" w:rsidRDefault="00611F55" w:rsidP="0037234B"/>
    <w:p w14:paraId="005FA777" w14:textId="6541E903" w:rsidR="00611F55" w:rsidRDefault="00611F55" w:rsidP="0037234B"/>
    <w:p w14:paraId="6BED30D5" w14:textId="50B0E0B7" w:rsidR="000B4D7C" w:rsidRPr="005F61C1" w:rsidRDefault="00706F2B" w:rsidP="000B4D7C">
      <w:pPr>
        <w:pStyle w:val="Nadpis1"/>
        <w:rPr>
          <w:b/>
          <w:sz w:val="44"/>
          <w:szCs w:val="44"/>
        </w:rPr>
      </w:pPr>
      <w:r w:rsidRPr="00706F2B">
        <w:rPr>
          <w:b/>
          <w:sz w:val="44"/>
          <w:szCs w:val="44"/>
        </w:rPr>
        <w:t>Implementační a konfigurační práce</w:t>
      </w:r>
      <w:r w:rsidR="000B4D7C" w:rsidRPr="005F61C1">
        <w:rPr>
          <w:b/>
          <w:sz w:val="44"/>
          <w:szCs w:val="44"/>
        </w:rPr>
        <w:t>:</w:t>
      </w:r>
    </w:p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1844"/>
        <w:gridCol w:w="5390"/>
        <w:gridCol w:w="1324"/>
        <w:gridCol w:w="2500"/>
      </w:tblGrid>
      <w:tr w:rsidR="000B4D7C" w14:paraId="69A41156" w14:textId="77777777" w:rsidTr="00014707"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DB4E92" w14:textId="3392539C" w:rsidR="000B4D7C" w:rsidRDefault="000B4D7C" w:rsidP="001828C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F3F71">
              <w:rPr>
                <w:rFonts w:ascii="Calibri" w:hAnsi="Calibri" w:cs="Calibri"/>
                <w:b/>
                <w:bCs/>
                <w:color w:val="000000"/>
              </w:rPr>
              <w:t xml:space="preserve">Zadavatel požaduje níže uvedené </w:t>
            </w:r>
            <w:r w:rsidR="001828C7">
              <w:rPr>
                <w:rFonts w:ascii="Calibri" w:hAnsi="Calibri" w:cs="Calibri"/>
                <w:b/>
                <w:bCs/>
                <w:color w:val="000000"/>
              </w:rPr>
              <w:t xml:space="preserve">instalační a implementační služby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622BED" w14:textId="77777777" w:rsidR="000B4D7C" w:rsidRDefault="000B4D7C" w:rsidP="007927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Požadovaná technická specifikace splněna ANO/ NE</w:t>
            </w:r>
          </w:p>
          <w:p w14:paraId="6C3C0AB9" w14:textId="77777777" w:rsidR="000B4D7C" w:rsidRDefault="000B4D7C" w:rsidP="0079272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743D10" w14:textId="77777777" w:rsidR="000B4D7C" w:rsidRDefault="000B4D7C" w:rsidP="00792727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Nabízený produkt, poznámka</w:t>
            </w:r>
          </w:p>
          <w:p w14:paraId="44577158" w14:textId="77777777" w:rsidR="000B4D7C" w:rsidRDefault="000B4D7C" w:rsidP="0079272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B4D7C" w14:paraId="158E0279" w14:textId="77777777" w:rsidTr="002D389E">
        <w:trPr>
          <w:trHeight w:val="6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8731" w14:textId="625062A5" w:rsidR="00014707" w:rsidRPr="00014707" w:rsidRDefault="006D5423" w:rsidP="00014707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014707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Příprava implementace</w:t>
            </w:r>
            <w:r w:rsidR="00014707" w:rsidRPr="00014707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:</w:t>
            </w:r>
          </w:p>
          <w:p w14:paraId="5639FE50" w14:textId="58554B53" w:rsidR="000B4D7C" w:rsidRPr="00014707" w:rsidRDefault="000B4D7C" w:rsidP="00792727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6106" w14:textId="77777777" w:rsidR="006D5423" w:rsidRPr="006D5423" w:rsidRDefault="006D5423" w:rsidP="006D5423">
            <w:pPr>
              <w:pStyle w:val="Odstavecseseznamem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 xml:space="preserve">Zahoření </w:t>
            </w:r>
          </w:p>
          <w:p w14:paraId="3798E857" w14:textId="77777777" w:rsidR="006D5423" w:rsidRPr="006D5423" w:rsidRDefault="006D5423" w:rsidP="006D5423">
            <w:pPr>
              <w:pStyle w:val="Odstavecseseznamem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Kontrola HW – CN</w:t>
            </w:r>
          </w:p>
          <w:p w14:paraId="00161E30" w14:textId="06A9CDB5" w:rsidR="006D5423" w:rsidRPr="006D5423" w:rsidRDefault="006D5423" w:rsidP="00611F55">
            <w:pPr>
              <w:pStyle w:val="Odstavecseseznamem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 xml:space="preserve">Konfigurace 2x FC </w:t>
            </w:r>
            <w:proofErr w:type="spellStart"/>
            <w:r w:rsidRPr="006D5423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="00611F5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11F55" w:rsidRPr="00611F55">
              <w:rPr>
                <w:rFonts w:ascii="Arial" w:hAnsi="Arial" w:cs="Arial"/>
                <w:sz w:val="20"/>
                <w:szCs w:val="20"/>
              </w:rPr>
              <w:t xml:space="preserve">Firmware, Network, </w:t>
            </w:r>
            <w:proofErr w:type="spellStart"/>
            <w:r w:rsidR="00611F55" w:rsidRPr="00611F55">
              <w:rPr>
                <w:rFonts w:ascii="Arial" w:hAnsi="Arial" w:cs="Arial"/>
                <w:sz w:val="20"/>
                <w:szCs w:val="20"/>
              </w:rPr>
              <w:t>Fabric</w:t>
            </w:r>
            <w:proofErr w:type="spellEnd"/>
            <w:r w:rsidR="00611F55" w:rsidRPr="00611F55">
              <w:rPr>
                <w:rFonts w:ascii="Arial" w:hAnsi="Arial" w:cs="Arial"/>
                <w:sz w:val="20"/>
                <w:szCs w:val="20"/>
              </w:rPr>
              <w:t xml:space="preserve">, Test </w:t>
            </w:r>
            <w:proofErr w:type="spellStart"/>
            <w:r w:rsidR="00611F55" w:rsidRPr="00611F55">
              <w:rPr>
                <w:rFonts w:ascii="Arial" w:hAnsi="Arial" w:cs="Arial"/>
                <w:sz w:val="20"/>
                <w:szCs w:val="20"/>
              </w:rPr>
              <w:t>Zoning</w:t>
            </w:r>
            <w:proofErr w:type="spellEnd"/>
          </w:p>
          <w:p w14:paraId="6B90BCF9" w14:textId="4F87663D" w:rsidR="006D5423" w:rsidRPr="006D5423" w:rsidRDefault="006D5423" w:rsidP="00611F55">
            <w:pPr>
              <w:pStyle w:val="Odstavecseseznamem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Konfigurace 2x pole</w:t>
            </w:r>
            <w:r w:rsidR="00611F5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11F55" w:rsidRPr="00611F55">
              <w:rPr>
                <w:rFonts w:ascii="Arial" w:hAnsi="Arial" w:cs="Arial"/>
                <w:sz w:val="20"/>
                <w:szCs w:val="20"/>
              </w:rPr>
              <w:t xml:space="preserve">RAID, Firmware, Network,  Test </w:t>
            </w:r>
            <w:proofErr w:type="spellStart"/>
            <w:r w:rsidR="00611F55" w:rsidRPr="00611F55">
              <w:rPr>
                <w:rFonts w:ascii="Arial" w:hAnsi="Arial" w:cs="Arial"/>
                <w:sz w:val="20"/>
                <w:szCs w:val="20"/>
              </w:rPr>
              <w:t>Zoning</w:t>
            </w:r>
            <w:proofErr w:type="spellEnd"/>
          </w:p>
          <w:p w14:paraId="2AAE9CBD" w14:textId="48589B68" w:rsidR="006D5423" w:rsidRDefault="006D5423" w:rsidP="00611F55">
            <w:pPr>
              <w:pStyle w:val="Odstavecseseznamem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Konfigurace Replikace</w:t>
            </w:r>
            <w:r w:rsidR="00611F5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11F55" w:rsidRPr="00611F55">
              <w:rPr>
                <w:rFonts w:ascii="Arial" w:hAnsi="Arial" w:cs="Arial"/>
                <w:sz w:val="20"/>
                <w:szCs w:val="20"/>
              </w:rPr>
              <w:t xml:space="preserve">Nastavení </w:t>
            </w:r>
            <w:proofErr w:type="spellStart"/>
            <w:proofErr w:type="gramStart"/>
            <w:r w:rsidR="00611F55" w:rsidRPr="00611F55">
              <w:rPr>
                <w:rFonts w:ascii="Arial" w:hAnsi="Arial" w:cs="Arial"/>
                <w:sz w:val="20"/>
                <w:szCs w:val="20"/>
              </w:rPr>
              <w:t>replikac</w:t>
            </w:r>
            <w:r w:rsidR="00611F55">
              <w:rPr>
                <w:rFonts w:ascii="Arial" w:hAnsi="Arial" w:cs="Arial"/>
                <w:sz w:val="20"/>
                <w:szCs w:val="20"/>
              </w:rPr>
              <w:t>e,</w:t>
            </w:r>
            <w:r w:rsidR="00611F55" w:rsidRPr="00611F55">
              <w:rPr>
                <w:rFonts w:ascii="Arial" w:hAnsi="Arial" w:cs="Arial"/>
                <w:sz w:val="20"/>
                <w:szCs w:val="20"/>
              </w:rPr>
              <w:t>testy</w:t>
            </w:r>
            <w:proofErr w:type="spellEnd"/>
            <w:proofErr w:type="gramEnd"/>
          </w:p>
          <w:p w14:paraId="0A4ECD9C" w14:textId="2A3A5550" w:rsidR="00563AA8" w:rsidRPr="006D5423" w:rsidRDefault="00563AA8" w:rsidP="00611F55">
            <w:pPr>
              <w:pStyle w:val="Odstavecseseznamem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Sestavení harmonogramu implementačních a konfiguračních prací</w:t>
            </w:r>
          </w:p>
          <w:p w14:paraId="09DE1663" w14:textId="6CA8C715" w:rsidR="00014707" w:rsidRPr="006D5423" w:rsidRDefault="00014707" w:rsidP="006D5423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0D86D8" w14:textId="77777777" w:rsidR="000B4D7C" w:rsidRDefault="000B4D7C" w:rsidP="0079272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FACCC2" w14:textId="77777777" w:rsidR="000B4D7C" w:rsidRDefault="000B4D7C" w:rsidP="00792727"/>
        </w:tc>
      </w:tr>
      <w:tr w:rsidR="000B4D7C" w14:paraId="1A3D5323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730" w14:textId="1D40ECF1" w:rsidR="000B4D7C" w:rsidRPr="00014707" w:rsidRDefault="006D5423" w:rsidP="00792727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Implementace</w:t>
            </w:r>
            <w:r w:rsidR="00014707" w:rsidRPr="00014707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3309" w14:textId="51AD4396" w:rsidR="00014707" w:rsidRPr="006D5423" w:rsidRDefault="006D5423" w:rsidP="00014707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Základní oživení</w:t>
            </w:r>
          </w:p>
          <w:p w14:paraId="7F06BB96" w14:textId="437C4E61" w:rsidR="006D5423" w:rsidRPr="006D5423" w:rsidRDefault="006D5423" w:rsidP="006D5423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Analýza výchozího stavu produkce</w:t>
            </w:r>
          </w:p>
          <w:p w14:paraId="408DC7DF" w14:textId="6B90C01C" w:rsidR="006D5423" w:rsidRPr="006D5423" w:rsidRDefault="006D5423" w:rsidP="006D5423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Instalace HW u zákazníka</w:t>
            </w:r>
          </w:p>
          <w:p w14:paraId="2B26DF1F" w14:textId="61C539B8" w:rsidR="006D5423" w:rsidRPr="006D5423" w:rsidRDefault="006D5423" w:rsidP="006D5423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realizace produkční HA</w:t>
            </w:r>
          </w:p>
          <w:p w14:paraId="66443B9B" w14:textId="7EB6BCCA" w:rsidR="006D5423" w:rsidRPr="006D5423" w:rsidRDefault="006D5423" w:rsidP="006D5423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Akceptační testy</w:t>
            </w:r>
            <w:r w:rsidR="00611F5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11F55" w:rsidRPr="00C17EB4">
              <w:t>ov</w:t>
            </w:r>
            <w:r w:rsidR="00611F55">
              <w:t>ě</w:t>
            </w:r>
            <w:r w:rsidR="00611F55" w:rsidRPr="00C17EB4">
              <w:t xml:space="preserve">ření chování při selhání jednotlivých komponent </w:t>
            </w:r>
          </w:p>
          <w:p w14:paraId="48DAC14A" w14:textId="12D7BC61" w:rsidR="006D5423" w:rsidRPr="006D5423" w:rsidRDefault="006D5423" w:rsidP="00611F55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Testovací provoz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361C1D" w14:textId="77777777" w:rsidR="000B4D7C" w:rsidRDefault="000B4D7C" w:rsidP="0079272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E12B0D" w14:textId="77777777" w:rsidR="000B4D7C" w:rsidRDefault="000B4D7C" w:rsidP="00792727"/>
        </w:tc>
      </w:tr>
      <w:tr w:rsidR="000B4D7C" w14:paraId="00B65B96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887E" w14:textId="77777777" w:rsidR="006D5423" w:rsidRPr="002D389E" w:rsidRDefault="006D5423" w:rsidP="006D5423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Nasazení do ostrého provozu:</w:t>
            </w:r>
          </w:p>
          <w:p w14:paraId="3DAB2F25" w14:textId="307322FC" w:rsidR="000B4D7C" w:rsidRDefault="000B4D7C" w:rsidP="00792727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E3E2" w14:textId="09AC303B" w:rsidR="006D5423" w:rsidRPr="006D5423" w:rsidRDefault="006D5423" w:rsidP="00BD3F97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Přesun produkce na SAN</w:t>
            </w:r>
            <w:r w:rsidR="00BD3F9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D3F97" w:rsidRPr="00BD3F97">
              <w:rPr>
                <w:rFonts w:ascii="Arial" w:hAnsi="Arial" w:cs="Arial"/>
                <w:sz w:val="20"/>
                <w:szCs w:val="20"/>
              </w:rPr>
              <w:t xml:space="preserve">Přepojení Serverů na novou SAN + </w:t>
            </w:r>
            <w:proofErr w:type="spellStart"/>
            <w:r w:rsidR="00BD3F97" w:rsidRPr="00BD3F97">
              <w:rPr>
                <w:rFonts w:ascii="Arial" w:hAnsi="Arial" w:cs="Arial"/>
                <w:sz w:val="20"/>
                <w:szCs w:val="20"/>
              </w:rPr>
              <w:t>Zoning</w:t>
            </w:r>
            <w:proofErr w:type="spellEnd"/>
            <w:r w:rsidR="00BD3F97" w:rsidRPr="00BD3F97">
              <w:rPr>
                <w:rFonts w:ascii="Arial" w:hAnsi="Arial" w:cs="Arial"/>
                <w:sz w:val="20"/>
                <w:szCs w:val="20"/>
              </w:rPr>
              <w:t>, asistence při přechodu produkce Hyper-V</w:t>
            </w:r>
          </w:p>
          <w:p w14:paraId="1D71F6A3" w14:textId="3C8D205F" w:rsidR="000B4D7C" w:rsidRPr="006D5423" w:rsidRDefault="006D5423" w:rsidP="00BD3F97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Rekonfigurace původního pole</w:t>
            </w:r>
            <w:r w:rsidR="00BD3F9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D3F97" w:rsidRPr="00BD3F97">
              <w:rPr>
                <w:rFonts w:ascii="Arial" w:hAnsi="Arial" w:cs="Arial"/>
                <w:sz w:val="20"/>
                <w:szCs w:val="20"/>
              </w:rPr>
              <w:t xml:space="preserve">přepojení původního pole do SAN </w:t>
            </w:r>
            <w:proofErr w:type="spellStart"/>
            <w:r w:rsidR="00BD3F97" w:rsidRPr="00BD3F97">
              <w:rPr>
                <w:rFonts w:ascii="Arial" w:hAnsi="Arial" w:cs="Arial"/>
                <w:sz w:val="20"/>
                <w:szCs w:val="20"/>
              </w:rPr>
              <w:t>Switchů</w:t>
            </w:r>
            <w:proofErr w:type="spellEnd"/>
            <w:r w:rsidR="00BD3F97" w:rsidRPr="00BD3F97">
              <w:rPr>
                <w:rFonts w:ascii="Arial" w:hAnsi="Arial" w:cs="Arial"/>
                <w:sz w:val="20"/>
                <w:szCs w:val="20"/>
              </w:rPr>
              <w:t xml:space="preserve">, rekonfigurace, </w:t>
            </w:r>
            <w:proofErr w:type="spellStart"/>
            <w:r w:rsidR="00BD3F97" w:rsidRPr="00BD3F97">
              <w:rPr>
                <w:rFonts w:ascii="Arial" w:hAnsi="Arial" w:cs="Arial"/>
                <w:sz w:val="20"/>
                <w:szCs w:val="20"/>
              </w:rPr>
              <w:t>testing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F7CD1" w14:textId="77777777" w:rsidR="000B4D7C" w:rsidRDefault="000B4D7C" w:rsidP="0079272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344135" w14:textId="77777777" w:rsidR="000B4D7C" w:rsidRDefault="000B4D7C" w:rsidP="00792727"/>
        </w:tc>
      </w:tr>
      <w:tr w:rsidR="00014707" w14:paraId="43F57435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B4B" w14:textId="7B2102F7" w:rsidR="006D5423" w:rsidRPr="002D389E" w:rsidRDefault="006D5423" w:rsidP="006D5423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Požadavky na součinnost</w:t>
            </w:r>
            <w:r w:rsidR="00597FD6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 xml:space="preserve"> v rámci realizace</w:t>
            </w:r>
            <w:r w:rsidR="00411959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 xml:space="preserve"> předmětu plnění</w:t>
            </w:r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:</w:t>
            </w:r>
          </w:p>
          <w:p w14:paraId="58793A88" w14:textId="77777777" w:rsidR="00014707" w:rsidRPr="002D389E" w:rsidRDefault="00014707" w:rsidP="006D5423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324" w14:textId="77777777" w:rsidR="006D5423" w:rsidRPr="006D5423" w:rsidRDefault="006D5423" w:rsidP="006D5423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5423">
              <w:rPr>
                <w:rFonts w:ascii="Arial" w:hAnsi="Arial" w:cs="Arial"/>
                <w:sz w:val="20"/>
                <w:szCs w:val="20"/>
              </w:rPr>
              <w:t>Kick</w:t>
            </w:r>
            <w:proofErr w:type="spellEnd"/>
            <w:r w:rsidRPr="006D54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5423">
              <w:rPr>
                <w:rFonts w:ascii="Arial" w:hAnsi="Arial" w:cs="Arial"/>
                <w:sz w:val="20"/>
                <w:szCs w:val="20"/>
              </w:rPr>
              <w:t>Off</w:t>
            </w:r>
            <w:proofErr w:type="spellEnd"/>
            <w:r w:rsidRPr="006D5423">
              <w:rPr>
                <w:rFonts w:ascii="Arial" w:hAnsi="Arial" w:cs="Arial"/>
                <w:sz w:val="20"/>
                <w:szCs w:val="20"/>
              </w:rPr>
              <w:t xml:space="preserve"> schůzka</w:t>
            </w:r>
          </w:p>
          <w:p w14:paraId="2CE7325D" w14:textId="77777777" w:rsidR="006D5423" w:rsidRPr="006D5423" w:rsidRDefault="006D5423" w:rsidP="006D5423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 xml:space="preserve">Statusové schůzky </w:t>
            </w:r>
          </w:p>
          <w:p w14:paraId="3C83DBCC" w14:textId="77777777" w:rsidR="006D5423" w:rsidRDefault="006D5423" w:rsidP="006D5423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koordinace a plánování při implementačních pracích / odstávkách produkčního prostředí</w:t>
            </w:r>
          </w:p>
          <w:p w14:paraId="2993FBED" w14:textId="77777777" w:rsidR="006D5423" w:rsidRPr="006D5423" w:rsidRDefault="006D5423" w:rsidP="006D5423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17EB4">
              <w:t>Spoluúčast nutných úprav v prostředí zákazníka</w:t>
            </w:r>
          </w:p>
          <w:p w14:paraId="2D346C45" w14:textId="5EE48407" w:rsidR="006D5423" w:rsidRPr="00BD3F97" w:rsidRDefault="006D5423" w:rsidP="006D5423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17EB4">
              <w:t xml:space="preserve">pomoc při </w:t>
            </w:r>
            <w:proofErr w:type="spellStart"/>
            <w:r w:rsidRPr="00C17EB4">
              <w:t>networkingu</w:t>
            </w:r>
            <w:proofErr w:type="spellEnd"/>
            <w:r w:rsidRPr="00C17EB4">
              <w:t xml:space="preserve"> (segmentace atp.), konzultace oprávnění, přesuny HW v rámci koncepčních změn, úprava produkčních serverů (koncepční narovnání pro </w:t>
            </w:r>
            <w:proofErr w:type="spellStart"/>
            <w:r w:rsidRPr="00C17EB4">
              <w:t>backuping</w:t>
            </w:r>
            <w:proofErr w:type="spellEnd"/>
            <w:r w:rsidRPr="00C17EB4">
              <w:t>)</w:t>
            </w:r>
          </w:p>
          <w:p w14:paraId="7FA9EDEF" w14:textId="2508669E" w:rsidR="00BD3F97" w:rsidRPr="006D5423" w:rsidRDefault="00BD3F97" w:rsidP="006D5423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t>Zpracování dokumentace k realizovanému řešení</w:t>
            </w:r>
          </w:p>
          <w:p w14:paraId="3DC74CA5" w14:textId="7944423F" w:rsidR="006D5423" w:rsidRPr="006D5423" w:rsidRDefault="006D5423" w:rsidP="006D5423">
            <w:pPr>
              <w:pStyle w:val="Odstavecseseznamem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D43C98" w14:textId="77777777" w:rsidR="00014707" w:rsidRDefault="00014707" w:rsidP="0079272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256736" w14:textId="77777777" w:rsidR="00014707" w:rsidRDefault="00014707" w:rsidP="00792727"/>
        </w:tc>
      </w:tr>
      <w:tr w:rsidR="002D389E" w14:paraId="24F44974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4CCE" w14:textId="3AFF178D" w:rsidR="002D389E" w:rsidRPr="002D389E" w:rsidRDefault="002D389E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Zaškolení: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1AD" w14:textId="44F42B05" w:rsidR="002D389E" w:rsidRPr="006D5423" w:rsidRDefault="002D389E" w:rsidP="00014707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D5423">
              <w:rPr>
                <w:rFonts w:ascii="Arial" w:hAnsi="Arial" w:cs="Arial"/>
                <w:sz w:val="20"/>
                <w:szCs w:val="20"/>
              </w:rPr>
              <w:t>Požadováno v rozsahu min. 3 dnů.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6FB079" w14:textId="77777777" w:rsidR="002D389E" w:rsidRDefault="002D389E" w:rsidP="0079272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D1D564" w14:textId="77777777" w:rsidR="002D389E" w:rsidRDefault="002D389E" w:rsidP="00792727"/>
        </w:tc>
      </w:tr>
      <w:tr w:rsidR="002D389E" w14:paraId="2A08110A" w14:textId="77777777" w:rsidTr="0001470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0F9" w14:textId="77777777" w:rsidR="002D389E" w:rsidRPr="002D389E" w:rsidRDefault="002D389E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  <w:proofErr w:type="spellStart"/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>Pomigrační</w:t>
            </w:r>
            <w:proofErr w:type="spellEnd"/>
            <w:r w:rsidRPr="002D389E"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  <w:t xml:space="preserve"> podpora:</w:t>
            </w:r>
          </w:p>
          <w:p w14:paraId="0541B350" w14:textId="77777777" w:rsidR="002D389E" w:rsidRPr="002D389E" w:rsidRDefault="002D389E" w:rsidP="002D389E">
            <w:pPr>
              <w:rPr>
                <w:rFonts w:asciiTheme="majorHAnsi" w:eastAsiaTheme="majorEastAsia" w:hAnsiTheme="majorHAnsi" w:cstheme="majorBidi"/>
                <w:i/>
                <w:i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5B5" w14:textId="3626EE10" w:rsidR="002D389E" w:rsidRPr="006D5423" w:rsidRDefault="009771B0" w:rsidP="00930DF7">
            <w:pPr>
              <w:pStyle w:val="Odstavecseseznamem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771B0">
              <w:rPr>
                <w:rFonts w:ascii="Arial" w:hAnsi="Arial" w:cs="Arial"/>
                <w:sz w:val="20"/>
                <w:szCs w:val="20"/>
              </w:rPr>
              <w:t xml:space="preserve">Rozšířená post-instalační podpora v rozsahu </w:t>
            </w:r>
            <w:r w:rsidR="00AA177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854002">
              <w:rPr>
                <w:rFonts w:ascii="Arial" w:hAnsi="Arial" w:cs="Arial"/>
                <w:sz w:val="20"/>
                <w:szCs w:val="20"/>
              </w:rPr>
              <w:t xml:space="preserve">MD** po </w:t>
            </w:r>
            <w:r w:rsidR="00AA1777">
              <w:rPr>
                <w:rFonts w:ascii="Arial" w:hAnsi="Arial" w:cs="Arial"/>
                <w:sz w:val="20"/>
                <w:szCs w:val="20"/>
              </w:rPr>
              <w:t xml:space="preserve">záruční dobu  </w:t>
            </w:r>
            <w:r w:rsidR="00930DF7">
              <w:rPr>
                <w:rFonts w:ascii="Arial" w:hAnsi="Arial" w:cs="Arial"/>
                <w:sz w:val="20"/>
                <w:szCs w:val="20"/>
              </w:rPr>
              <w:t xml:space="preserve">a za podmínek </w:t>
            </w:r>
            <w:r w:rsidR="00AA1777">
              <w:rPr>
                <w:rFonts w:ascii="Arial" w:hAnsi="Arial" w:cs="Arial"/>
                <w:sz w:val="20"/>
                <w:szCs w:val="20"/>
              </w:rPr>
              <w:t>uveden</w:t>
            </w:r>
            <w:r w:rsidR="00930DF7">
              <w:rPr>
                <w:rFonts w:ascii="Arial" w:hAnsi="Arial" w:cs="Arial"/>
                <w:sz w:val="20"/>
                <w:szCs w:val="20"/>
              </w:rPr>
              <w:t>ých</w:t>
            </w:r>
            <w:r w:rsidR="00AA1777">
              <w:rPr>
                <w:rFonts w:ascii="Arial" w:hAnsi="Arial" w:cs="Arial"/>
                <w:sz w:val="20"/>
                <w:szCs w:val="20"/>
              </w:rPr>
              <w:t xml:space="preserve"> v příloze č. 3 Smlouvy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7523F6" w14:textId="0141C1B4" w:rsidR="002D389E" w:rsidRPr="00AA1777" w:rsidRDefault="002D389E" w:rsidP="00AA1777"/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D1840" w14:textId="77777777" w:rsidR="002D389E" w:rsidRDefault="002D389E" w:rsidP="00792727"/>
        </w:tc>
      </w:tr>
    </w:tbl>
    <w:p w14:paraId="77796B3E" w14:textId="0109A78D" w:rsidR="00706F2B" w:rsidRDefault="00706F2B" w:rsidP="00706F2B"/>
    <w:p w14:paraId="78A17B93" w14:textId="660E9EDA" w:rsidR="00BD3F97" w:rsidRDefault="00BD3F97" w:rsidP="00706F2B"/>
    <w:p w14:paraId="59F0F320" w14:textId="0BABFBFA" w:rsidR="00BD3F97" w:rsidRDefault="00BD3F97" w:rsidP="00706F2B"/>
    <w:p w14:paraId="5FEE6821" w14:textId="581DB0AC" w:rsidR="00BD3F97" w:rsidRDefault="00BD3F97" w:rsidP="00706F2B"/>
    <w:p w14:paraId="060FABE7" w14:textId="2242623C" w:rsidR="00BD3F97" w:rsidRDefault="00BD3F97" w:rsidP="00706F2B"/>
    <w:p w14:paraId="67BF5CCE" w14:textId="77777777" w:rsidR="00BD3F97" w:rsidRDefault="00BD3F97" w:rsidP="00706F2B"/>
    <w:p w14:paraId="5B4C0073" w14:textId="676C82F2" w:rsidR="00605DF9" w:rsidRPr="00706F2B" w:rsidRDefault="00706F2B" w:rsidP="00605DF9">
      <w:pPr>
        <w:pStyle w:val="Nadpis1"/>
        <w:rPr>
          <w:b/>
          <w:sz w:val="44"/>
          <w:szCs w:val="44"/>
        </w:rPr>
      </w:pPr>
      <w:r w:rsidRPr="00706F2B">
        <w:rPr>
          <w:b/>
          <w:sz w:val="44"/>
          <w:szCs w:val="44"/>
        </w:rPr>
        <w:lastRenderedPageBreak/>
        <w:t>Cenový souhrn: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2410"/>
        <w:gridCol w:w="1041"/>
        <w:gridCol w:w="1256"/>
        <w:gridCol w:w="1701"/>
        <w:gridCol w:w="1263"/>
      </w:tblGrid>
      <w:tr w:rsidR="00605DF9" w:rsidRPr="00B52586" w14:paraId="38D32970" w14:textId="77777777" w:rsidTr="00CF1673">
        <w:trPr>
          <w:trHeight w:val="540"/>
        </w:trPr>
        <w:tc>
          <w:tcPr>
            <w:tcW w:w="91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DBA22BB" w14:textId="77777777" w:rsidR="00605DF9" w:rsidRPr="00B52586" w:rsidRDefault="00605DF9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 w:rsidRPr="00B52586">
              <w:rPr>
                <w:rFonts w:cs="Calibri"/>
                <w:b/>
                <w:bCs/>
                <w:sz w:val="20"/>
                <w:szCs w:val="20"/>
              </w:rPr>
              <w:t>Dodavatelem</w:t>
            </w:r>
            <w:r>
              <w:rPr>
                <w:rFonts w:cs="Calibri"/>
                <w:b/>
                <w:bCs/>
                <w:sz w:val="20"/>
                <w:szCs w:val="20"/>
              </w:rPr>
              <w:t>/Prodávajícím</w:t>
            </w:r>
            <w:r w:rsidRPr="00B52586">
              <w:rPr>
                <w:rFonts w:cs="Calibri"/>
                <w:b/>
                <w:bCs/>
                <w:sz w:val="20"/>
                <w:szCs w:val="20"/>
              </w:rPr>
              <w:t xml:space="preserve"> nabízená kupní cena (Dodavatel</w:t>
            </w:r>
            <w:r>
              <w:rPr>
                <w:rFonts w:cs="Calibri"/>
                <w:b/>
                <w:bCs/>
                <w:sz w:val="20"/>
                <w:szCs w:val="20"/>
              </w:rPr>
              <w:t>/Prodávající</w:t>
            </w:r>
            <w:r w:rsidRPr="00B52586">
              <w:rPr>
                <w:rFonts w:cs="Calibri"/>
                <w:b/>
                <w:bCs/>
                <w:sz w:val="20"/>
                <w:szCs w:val="20"/>
              </w:rPr>
              <w:t xml:space="preserve"> vyplní žlutě podbarvená pole)</w:t>
            </w:r>
          </w:p>
        </w:tc>
      </w:tr>
      <w:tr w:rsidR="00605DF9" w:rsidRPr="00B52586" w14:paraId="665763E4" w14:textId="77777777" w:rsidTr="00605DF9">
        <w:trPr>
          <w:trHeight w:val="540"/>
        </w:trPr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17E98ECC" w14:textId="77777777" w:rsidR="00605DF9" w:rsidRPr="00B52586" w:rsidRDefault="00605DF9" w:rsidP="00CF1673">
            <w:pPr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>Druh dodávky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7617EB2B" w14:textId="415164DF" w:rsidR="00605DF9" w:rsidRPr="00B52586" w:rsidRDefault="00605DF9" w:rsidP="00CF1673">
            <w:pPr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>za 1 ks</w:t>
            </w:r>
            <w:r w:rsidR="00525DD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525DD3">
              <w:rPr>
                <w:b/>
                <w:bCs/>
                <w:sz w:val="20"/>
                <w:szCs w:val="20"/>
              </w:rPr>
              <w:t>kpl</w:t>
            </w:r>
            <w:proofErr w:type="spellEnd"/>
            <w:r w:rsidR="00525DD3">
              <w:rPr>
                <w:b/>
                <w:bCs/>
                <w:sz w:val="20"/>
                <w:szCs w:val="20"/>
              </w:rPr>
              <w:t>/ MD</w:t>
            </w:r>
            <w:r>
              <w:rPr>
                <w:b/>
                <w:bCs/>
                <w:sz w:val="20"/>
                <w:szCs w:val="20"/>
              </w:rPr>
              <w:t xml:space="preserve"> (Kč bez DPH) 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EA5C045" w14:textId="413FACAE" w:rsidR="00605DF9" w:rsidRPr="00B52586" w:rsidRDefault="00605DF9" w:rsidP="00CF16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ks</w:t>
            </w:r>
            <w:r w:rsidR="0046555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465553">
              <w:rPr>
                <w:b/>
                <w:bCs/>
                <w:sz w:val="20"/>
                <w:szCs w:val="20"/>
              </w:rPr>
              <w:t>kpl</w:t>
            </w:r>
            <w:proofErr w:type="spellEnd"/>
            <w:r w:rsidR="003E0A92">
              <w:rPr>
                <w:b/>
                <w:bCs/>
                <w:sz w:val="20"/>
                <w:szCs w:val="20"/>
              </w:rPr>
              <w:t>/MD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07CDBD0F" w14:textId="77777777" w:rsidR="00605DF9" w:rsidRPr="00B52586" w:rsidRDefault="00605DF9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>sazba DPH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7ADA9F71" w14:textId="77777777" w:rsidR="00605DF9" w:rsidRPr="00B52586" w:rsidRDefault="00605DF9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>celkem (Kč bez DPH)</w:t>
            </w: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3023BEB1" w14:textId="77777777" w:rsidR="00605DF9" w:rsidRPr="00B52586" w:rsidRDefault="00605DF9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 w:rsidRPr="00B52586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celkem (Kč v</w:t>
            </w:r>
            <w:r w:rsidRPr="00C1165E">
              <w:rPr>
                <w:b/>
                <w:bCs/>
                <w:color w:val="000000" w:themeColor="text1"/>
                <w:sz w:val="20"/>
                <w:szCs w:val="20"/>
              </w:rPr>
              <w:t>č. DPH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605DF9" w:rsidRPr="00B52586" w14:paraId="41CA66AB" w14:textId="77777777" w:rsidTr="00605DF9">
        <w:trPr>
          <w:trHeight w:val="33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008A1" w14:textId="2C950E67" w:rsidR="00605DF9" w:rsidRPr="00B52586" w:rsidRDefault="00706F2B" w:rsidP="002D389E">
            <w:pPr>
              <w:rPr>
                <w:b/>
                <w:bCs/>
                <w:sz w:val="20"/>
                <w:szCs w:val="20"/>
              </w:rPr>
            </w:pPr>
            <w:r>
              <w:t>Diskové pole</w:t>
            </w:r>
            <w:r w:rsidR="00F17496">
              <w:t>*</w:t>
            </w:r>
            <w:r w:rsidR="002D389E" w:rsidRPr="002D389E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3377EA6C" w14:textId="77777777" w:rsidR="00605DF9" w:rsidRPr="00B52586" w:rsidRDefault="00605DF9" w:rsidP="00CF167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A68F439" w14:textId="50DBC7EE" w:rsidR="00605DF9" w:rsidRPr="006C1A86" w:rsidRDefault="00605DF9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476DF105" w14:textId="77777777" w:rsidR="00605DF9" w:rsidRPr="00B52586" w:rsidRDefault="00605DF9" w:rsidP="00CF16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FC41D23" w14:textId="77777777" w:rsidR="00605DF9" w:rsidRPr="00B52586" w:rsidRDefault="00605DF9" w:rsidP="00CF16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9EBD22" w14:textId="77777777" w:rsidR="00605DF9" w:rsidRPr="00B52586" w:rsidRDefault="00605DF9" w:rsidP="00CF16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5DF9" w:rsidRPr="00B52586" w14:paraId="26E026C6" w14:textId="77777777" w:rsidTr="00605DF9">
        <w:trPr>
          <w:trHeight w:val="33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776AC" w14:textId="2E8D1F22" w:rsidR="00605DF9" w:rsidRPr="00605DF9" w:rsidRDefault="00706F2B" w:rsidP="00706F2B">
            <w:r>
              <w:t xml:space="preserve">SAN </w:t>
            </w:r>
            <w:proofErr w:type="spellStart"/>
            <w:r>
              <w:t>Switch</w:t>
            </w:r>
            <w:proofErr w:type="spellEnd"/>
            <w:r w:rsidR="00F17496"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2610951A" w14:textId="77777777" w:rsidR="00605DF9" w:rsidRPr="00B52586" w:rsidRDefault="00605DF9" w:rsidP="00CF167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6534E095" w14:textId="2F6593D1" w:rsidR="00605DF9" w:rsidRDefault="002D389E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3898A1AD" w14:textId="77777777" w:rsidR="00605DF9" w:rsidRPr="00B52586" w:rsidRDefault="00605DF9" w:rsidP="00CF16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527F32C1" w14:textId="77777777" w:rsidR="00605DF9" w:rsidRPr="00B52586" w:rsidRDefault="00605DF9" w:rsidP="00CF16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CAE5D6" w14:textId="77777777" w:rsidR="00605DF9" w:rsidRPr="00B52586" w:rsidRDefault="00605DF9" w:rsidP="00CF16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06F2B" w:rsidRPr="00B52586" w14:paraId="54B10C9B" w14:textId="77777777" w:rsidTr="00605DF9">
        <w:trPr>
          <w:trHeight w:val="33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2C92E" w14:textId="20500F2D" w:rsidR="00706F2B" w:rsidRDefault="00706F2B" w:rsidP="00706F2B">
            <w:r>
              <w:t xml:space="preserve">Implementační a konfigurační práce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62BCC738" w14:textId="77777777" w:rsidR="00706F2B" w:rsidRPr="00B52586" w:rsidRDefault="00706F2B" w:rsidP="00CF167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F33A38E" w14:textId="7438CD2D" w:rsidR="00706F2B" w:rsidRDefault="00BE6401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7B167438" w14:textId="77777777" w:rsidR="00706F2B" w:rsidRPr="00B52586" w:rsidRDefault="00706F2B" w:rsidP="00CF16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27758F71" w14:textId="77777777" w:rsidR="00706F2B" w:rsidRPr="00B52586" w:rsidRDefault="00706F2B" w:rsidP="00CF16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40CA8B5" w14:textId="77777777" w:rsidR="00706F2B" w:rsidRPr="00B52586" w:rsidRDefault="00706F2B" w:rsidP="00CF16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17496" w:rsidRPr="00B52586" w14:paraId="6ED06F8C" w14:textId="77777777" w:rsidTr="00605DF9">
        <w:trPr>
          <w:trHeight w:val="330"/>
        </w:trPr>
        <w:tc>
          <w:tcPr>
            <w:tcW w:w="14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1F84A" w14:textId="5D28F61C" w:rsidR="00F17496" w:rsidRDefault="000376E0" w:rsidP="00706F2B">
            <w:proofErr w:type="spellStart"/>
            <w:r>
              <w:t>Pomigrační</w:t>
            </w:r>
            <w:proofErr w:type="spellEnd"/>
            <w:r>
              <w:t xml:space="preserve"> podpora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1A5F12EA" w14:textId="77777777" w:rsidR="00F17496" w:rsidRPr="00B52586" w:rsidRDefault="00F17496" w:rsidP="00CF167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4C65614A" w14:textId="0D844DD5" w:rsidR="00F17496" w:rsidRDefault="00AA1777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</w:tcPr>
          <w:p w14:paraId="68523C41" w14:textId="77777777" w:rsidR="00F17496" w:rsidRPr="00B52586" w:rsidRDefault="00F17496" w:rsidP="00CF167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35DE8ACA" w14:textId="77777777" w:rsidR="00F17496" w:rsidRPr="00B52586" w:rsidRDefault="00F17496" w:rsidP="00CF16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57F46EB" w14:textId="77777777" w:rsidR="00F17496" w:rsidRPr="00B52586" w:rsidRDefault="00F17496" w:rsidP="00CF16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5DF9" w:rsidRPr="00B52586" w14:paraId="36A9AE1A" w14:textId="77777777" w:rsidTr="00605DF9">
        <w:trPr>
          <w:trHeight w:val="330"/>
        </w:trPr>
        <w:tc>
          <w:tcPr>
            <w:tcW w:w="61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0611D" w14:textId="77777777" w:rsidR="00605DF9" w:rsidRPr="00B52586" w:rsidRDefault="00605DF9" w:rsidP="00CF16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14:paraId="3CFA7418" w14:textId="77777777" w:rsidR="00605DF9" w:rsidRPr="00B52586" w:rsidRDefault="00605DF9" w:rsidP="00CF16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F449F8C" w14:textId="77777777" w:rsidR="00605DF9" w:rsidRPr="00B52586" w:rsidRDefault="00605DF9" w:rsidP="00CF16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331358E3" w14:textId="2A32AF49" w:rsidR="00F17496" w:rsidRDefault="00DE6343" w:rsidP="00F17496">
      <w:r w:rsidRPr="00DE6343">
        <w:rPr>
          <w:rFonts w:cstheme="minorHAnsi"/>
        </w:rPr>
        <w:t>*</w:t>
      </w:r>
      <w:r w:rsidR="00F17496">
        <w:t xml:space="preserve">Cena za tuto položku bude zahrnovat i servisní podporu. </w:t>
      </w:r>
    </w:p>
    <w:p w14:paraId="3F3933BF" w14:textId="1A289134" w:rsidR="00DE6343" w:rsidRPr="008A70A2" w:rsidRDefault="00A47650" w:rsidP="00DE63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t>**</w:t>
      </w:r>
      <w:r w:rsidRPr="00854002">
        <w:rPr>
          <w:b/>
        </w:rPr>
        <w:t xml:space="preserve">1 MD </w:t>
      </w:r>
      <w:r w:rsidRPr="00854002">
        <w:rPr>
          <w:b/>
          <w:bCs/>
        </w:rPr>
        <w:t>odpovídá</w:t>
      </w:r>
      <w:r w:rsidRPr="00F17496">
        <w:rPr>
          <w:b/>
          <w:bCs/>
        </w:rPr>
        <w:t xml:space="preserve"> 8 hodinám práce jedné osoby</w:t>
      </w:r>
      <w:r w:rsidRPr="00F17496">
        <w:t>.</w:t>
      </w:r>
      <w:r>
        <w:t xml:space="preserve"> </w:t>
      </w:r>
      <w:r w:rsidR="00DE6343">
        <w:t>Z</w:t>
      </w:r>
      <w:r>
        <w:t xml:space="preserve">adavatel </w:t>
      </w:r>
      <w:r w:rsidR="00DE6343">
        <w:t xml:space="preserve"> si </w:t>
      </w:r>
      <w:r>
        <w:t>vyhrazuje právo využít této služby dle svých aktuálních potřeb v uvedeném časovém období</w:t>
      </w:r>
      <w:r w:rsidR="00DE6343">
        <w:t>.</w:t>
      </w:r>
      <w:r>
        <w:t xml:space="preserve"> </w:t>
      </w:r>
      <w:r w:rsidR="00DE6343" w:rsidRPr="00DE6343">
        <w:rPr>
          <w:rFonts w:cstheme="minorHAnsi"/>
        </w:rPr>
        <w:t>Podpora</w:t>
      </w:r>
      <w:r w:rsidR="00DE6343">
        <w:rPr>
          <w:rFonts w:cstheme="minorHAnsi"/>
        </w:rPr>
        <w:t xml:space="preserve"> </w:t>
      </w:r>
      <w:r w:rsidR="00DE6343" w:rsidRPr="00DE6343">
        <w:rPr>
          <w:rFonts w:cstheme="minorHAnsi"/>
        </w:rPr>
        <w:t xml:space="preserve">je již kalkulována v Ceně dle odst. 3.1. Smlouvy. Do čerpání služby </w:t>
      </w:r>
      <w:proofErr w:type="spellStart"/>
      <w:r w:rsidR="00DE6343" w:rsidRPr="00DE6343">
        <w:rPr>
          <w:rFonts w:cstheme="minorHAnsi"/>
        </w:rPr>
        <w:t>pomigrační</w:t>
      </w:r>
      <w:proofErr w:type="spellEnd"/>
      <w:r w:rsidR="00DE6343" w:rsidRPr="00DE6343">
        <w:rPr>
          <w:rFonts w:cstheme="minorHAnsi"/>
        </w:rPr>
        <w:t xml:space="preserve"> podpory se započítává výhradně skutečně odpracovaný čas  (nikoli celý MD za jednotlivou dílčí konzultaci).</w:t>
      </w:r>
      <w:r w:rsidR="00DE6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C6365" w14:textId="5A179369" w:rsidR="00A47650" w:rsidRPr="00F17496" w:rsidRDefault="00A47650" w:rsidP="00A47650">
      <w:pPr>
        <w:jc w:val="both"/>
      </w:pPr>
    </w:p>
    <w:p w14:paraId="3D289441" w14:textId="77777777" w:rsidR="00A47650" w:rsidRDefault="00A47650" w:rsidP="00F17496"/>
    <w:p w14:paraId="6D927404" w14:textId="5CC600A3" w:rsidR="00F17496" w:rsidRDefault="00F17496" w:rsidP="00F17496">
      <w:pPr>
        <w:rPr>
          <w:u w:val="single"/>
        </w:rPr>
      </w:pPr>
    </w:p>
    <w:p w14:paraId="23D5D12A" w14:textId="77777777" w:rsidR="00F17496" w:rsidRDefault="00F17496" w:rsidP="00F17496">
      <w:pPr>
        <w:rPr>
          <w:u w:val="single"/>
        </w:rPr>
      </w:pPr>
    </w:p>
    <w:p w14:paraId="30475DCA" w14:textId="3CE5D03F" w:rsidR="00F17496" w:rsidRDefault="00F17496" w:rsidP="003729D1"/>
    <w:p w14:paraId="5772CDC3" w14:textId="77777777" w:rsidR="00F17496" w:rsidRDefault="00F17496" w:rsidP="003729D1"/>
    <w:sectPr w:rsidR="00F17496" w:rsidSect="00F51DD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B2ED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lang w:val="cs-CZ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7F58"/>
    <w:multiLevelType w:val="hybridMultilevel"/>
    <w:tmpl w:val="B9987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EB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E1BB5"/>
    <w:multiLevelType w:val="hybridMultilevel"/>
    <w:tmpl w:val="2814E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B7F87"/>
    <w:multiLevelType w:val="hybridMultilevel"/>
    <w:tmpl w:val="8116CC42"/>
    <w:lvl w:ilvl="0" w:tplc="4538F8C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15BAC"/>
    <w:multiLevelType w:val="hybridMultilevel"/>
    <w:tmpl w:val="50449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F41AA"/>
    <w:multiLevelType w:val="hybridMultilevel"/>
    <w:tmpl w:val="BE8480F8"/>
    <w:lvl w:ilvl="0" w:tplc="5C9E7A0E">
      <w:start w:val="5"/>
      <w:numFmt w:val="bullet"/>
      <w:lvlText w:val="-"/>
      <w:lvlJc w:val="left"/>
      <w:pPr>
        <w:ind w:left="1069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8454918"/>
    <w:multiLevelType w:val="hybridMultilevel"/>
    <w:tmpl w:val="DC880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E78E8"/>
    <w:multiLevelType w:val="hybridMultilevel"/>
    <w:tmpl w:val="7F4C19FA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C1D2F59"/>
    <w:multiLevelType w:val="multilevel"/>
    <w:tmpl w:val="4B5A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66866"/>
    <w:multiLevelType w:val="multilevel"/>
    <w:tmpl w:val="A80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4B4270"/>
    <w:multiLevelType w:val="hybridMultilevel"/>
    <w:tmpl w:val="EF72A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3651C"/>
    <w:multiLevelType w:val="hybridMultilevel"/>
    <w:tmpl w:val="4AC49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A209E"/>
    <w:multiLevelType w:val="hybridMultilevel"/>
    <w:tmpl w:val="EA2E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E7E93"/>
    <w:multiLevelType w:val="hybridMultilevel"/>
    <w:tmpl w:val="246E1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E1392"/>
    <w:multiLevelType w:val="hybridMultilevel"/>
    <w:tmpl w:val="16B803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962F4"/>
    <w:multiLevelType w:val="hybridMultilevel"/>
    <w:tmpl w:val="11682BFC"/>
    <w:lvl w:ilvl="0" w:tplc="0405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2"/>
  </w:num>
  <w:num w:numId="5">
    <w:abstractNumId w:val="15"/>
  </w:num>
  <w:num w:numId="6">
    <w:abstractNumId w:val="8"/>
  </w:num>
  <w:num w:numId="7">
    <w:abstractNumId w:val="20"/>
  </w:num>
  <w:num w:numId="8">
    <w:abstractNumId w:val="3"/>
  </w:num>
  <w:num w:numId="9">
    <w:abstractNumId w:val="4"/>
  </w:num>
  <w:num w:numId="10">
    <w:abstractNumId w:val="10"/>
  </w:num>
  <w:num w:numId="11">
    <w:abstractNumId w:val="16"/>
  </w:num>
  <w:num w:numId="12">
    <w:abstractNumId w:val="6"/>
  </w:num>
  <w:num w:numId="13">
    <w:abstractNumId w:val="7"/>
  </w:num>
  <w:num w:numId="14">
    <w:abstractNumId w:val="5"/>
  </w:num>
  <w:num w:numId="15">
    <w:abstractNumId w:val="0"/>
  </w:num>
  <w:num w:numId="16">
    <w:abstractNumId w:val="14"/>
  </w:num>
  <w:num w:numId="17">
    <w:abstractNumId w:val="13"/>
  </w:num>
  <w:num w:numId="18">
    <w:abstractNumId w:val="9"/>
  </w:num>
  <w:num w:numId="19">
    <w:abstractNumId w:val="18"/>
  </w:num>
  <w:num w:numId="20">
    <w:abstractNumId w:val="17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E2"/>
    <w:rsid w:val="00014707"/>
    <w:rsid w:val="000376E0"/>
    <w:rsid w:val="00040712"/>
    <w:rsid w:val="000551C9"/>
    <w:rsid w:val="0006370A"/>
    <w:rsid w:val="000A0134"/>
    <w:rsid w:val="000B4CF0"/>
    <w:rsid w:val="000B4D7C"/>
    <w:rsid w:val="000D3A5F"/>
    <w:rsid w:val="000F2072"/>
    <w:rsid w:val="00127145"/>
    <w:rsid w:val="001828C7"/>
    <w:rsid w:val="001D20E0"/>
    <w:rsid w:val="002334EB"/>
    <w:rsid w:val="00250A63"/>
    <w:rsid w:val="0025309D"/>
    <w:rsid w:val="002765CC"/>
    <w:rsid w:val="00276820"/>
    <w:rsid w:val="002D389E"/>
    <w:rsid w:val="00311DD8"/>
    <w:rsid w:val="00312BD6"/>
    <w:rsid w:val="00337A2B"/>
    <w:rsid w:val="003514F4"/>
    <w:rsid w:val="00352469"/>
    <w:rsid w:val="00357917"/>
    <w:rsid w:val="00357EBD"/>
    <w:rsid w:val="0037234B"/>
    <w:rsid w:val="003729D1"/>
    <w:rsid w:val="003B4DAC"/>
    <w:rsid w:val="003C18F3"/>
    <w:rsid w:val="003D1D2A"/>
    <w:rsid w:val="003E0A92"/>
    <w:rsid w:val="003E3E2F"/>
    <w:rsid w:val="00411959"/>
    <w:rsid w:val="00417441"/>
    <w:rsid w:val="0041777C"/>
    <w:rsid w:val="00450EC3"/>
    <w:rsid w:val="00465553"/>
    <w:rsid w:val="004B3499"/>
    <w:rsid w:val="004B7B87"/>
    <w:rsid w:val="004F494B"/>
    <w:rsid w:val="005229F3"/>
    <w:rsid w:val="00524AB5"/>
    <w:rsid w:val="00525DD3"/>
    <w:rsid w:val="0054369A"/>
    <w:rsid w:val="00544C99"/>
    <w:rsid w:val="00563AA8"/>
    <w:rsid w:val="005747A6"/>
    <w:rsid w:val="00576658"/>
    <w:rsid w:val="0057789B"/>
    <w:rsid w:val="00597FD6"/>
    <w:rsid w:val="005A7E11"/>
    <w:rsid w:val="005E6DD5"/>
    <w:rsid w:val="005E73BC"/>
    <w:rsid w:val="005F61C1"/>
    <w:rsid w:val="00605DF9"/>
    <w:rsid w:val="00611F55"/>
    <w:rsid w:val="00624496"/>
    <w:rsid w:val="00630089"/>
    <w:rsid w:val="00634953"/>
    <w:rsid w:val="0063609C"/>
    <w:rsid w:val="00641764"/>
    <w:rsid w:val="00642EF3"/>
    <w:rsid w:val="006579F5"/>
    <w:rsid w:val="006767DF"/>
    <w:rsid w:val="00683500"/>
    <w:rsid w:val="006C1FF9"/>
    <w:rsid w:val="006C2A17"/>
    <w:rsid w:val="006D5423"/>
    <w:rsid w:val="006F1E9C"/>
    <w:rsid w:val="006F3F71"/>
    <w:rsid w:val="00706F2B"/>
    <w:rsid w:val="00710E69"/>
    <w:rsid w:val="00744A51"/>
    <w:rsid w:val="007802CC"/>
    <w:rsid w:val="00791B27"/>
    <w:rsid w:val="007A53EA"/>
    <w:rsid w:val="007B14D5"/>
    <w:rsid w:val="007C62BE"/>
    <w:rsid w:val="007F5DDB"/>
    <w:rsid w:val="0085239A"/>
    <w:rsid w:val="00854002"/>
    <w:rsid w:val="00876EA7"/>
    <w:rsid w:val="008B2284"/>
    <w:rsid w:val="008B299C"/>
    <w:rsid w:val="008C6786"/>
    <w:rsid w:val="00923621"/>
    <w:rsid w:val="00930DF7"/>
    <w:rsid w:val="009422E3"/>
    <w:rsid w:val="00943C97"/>
    <w:rsid w:val="00975F34"/>
    <w:rsid w:val="009771B0"/>
    <w:rsid w:val="009B465C"/>
    <w:rsid w:val="009F5263"/>
    <w:rsid w:val="00A06C59"/>
    <w:rsid w:val="00A16FFD"/>
    <w:rsid w:val="00A25B53"/>
    <w:rsid w:val="00A47650"/>
    <w:rsid w:val="00A64558"/>
    <w:rsid w:val="00A70DAA"/>
    <w:rsid w:val="00A90269"/>
    <w:rsid w:val="00A9139E"/>
    <w:rsid w:val="00AA1777"/>
    <w:rsid w:val="00B03A45"/>
    <w:rsid w:val="00B242F0"/>
    <w:rsid w:val="00B615FD"/>
    <w:rsid w:val="00B84DFE"/>
    <w:rsid w:val="00B854E1"/>
    <w:rsid w:val="00BA2FBD"/>
    <w:rsid w:val="00BD3F97"/>
    <w:rsid w:val="00BD5C03"/>
    <w:rsid w:val="00BE62B3"/>
    <w:rsid w:val="00BE6401"/>
    <w:rsid w:val="00C118D9"/>
    <w:rsid w:val="00C25BEF"/>
    <w:rsid w:val="00C909D7"/>
    <w:rsid w:val="00CB2A04"/>
    <w:rsid w:val="00CB2C08"/>
    <w:rsid w:val="00CC4924"/>
    <w:rsid w:val="00CE037F"/>
    <w:rsid w:val="00CE4953"/>
    <w:rsid w:val="00CF1810"/>
    <w:rsid w:val="00CF19E8"/>
    <w:rsid w:val="00D02F36"/>
    <w:rsid w:val="00D053E2"/>
    <w:rsid w:val="00D43066"/>
    <w:rsid w:val="00D55F83"/>
    <w:rsid w:val="00D707CA"/>
    <w:rsid w:val="00DA6653"/>
    <w:rsid w:val="00DB5A80"/>
    <w:rsid w:val="00DD42D3"/>
    <w:rsid w:val="00DE6343"/>
    <w:rsid w:val="00DF15FF"/>
    <w:rsid w:val="00E16F46"/>
    <w:rsid w:val="00E3014E"/>
    <w:rsid w:val="00E4050C"/>
    <w:rsid w:val="00E71F73"/>
    <w:rsid w:val="00E73C4E"/>
    <w:rsid w:val="00E80711"/>
    <w:rsid w:val="00E93A65"/>
    <w:rsid w:val="00E93C90"/>
    <w:rsid w:val="00E96598"/>
    <w:rsid w:val="00EB5ED0"/>
    <w:rsid w:val="00EC73B9"/>
    <w:rsid w:val="00F17496"/>
    <w:rsid w:val="00F51DD6"/>
    <w:rsid w:val="00FA39DB"/>
    <w:rsid w:val="00FC30A4"/>
    <w:rsid w:val="00FE41B7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3ABD"/>
  <w15:docId w15:val="{0123A57B-8FCF-4E1C-AB27-41548037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3E2"/>
  </w:style>
  <w:style w:type="paragraph" w:styleId="Nadpis1">
    <w:name w:val="heading 1"/>
    <w:aliases w:val="Chapter,H1,1,section,ASAPHeading 1,Celého textu,V_Head1,Záhlaví 1,h1,Základní kapitola,t,Kapitola,Nadpis I,TRM 12 B,TRM 16 B,1.,Kapitola1,Kapitola2,Kapitola3,Kapitola4,Kapitola5,Kapitola11,Kapitola21,Kapitola31,Kapitola41,Kapitola6,Kapitola12"/>
    <w:basedOn w:val="Normln"/>
    <w:next w:val="Normln"/>
    <w:link w:val="Nadpis1Char"/>
    <w:qFormat/>
    <w:rsid w:val="00A90269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aliases w:val="h2,H2,Attribute Heading 2,2m,hlavicka,F2,F21,PA Major Section,2,sub-sect,21,sub-sect1,22,sub-sect2,211,sub-sect11,ASAPHeading 2,Podkapitola1,Běžného textu,V_Head2,V_Head21,V_Head22,Odstavec č.,Paragraph,Podkapitola11,16 B centr,Bižného textu"/>
    <w:basedOn w:val="Normln"/>
    <w:next w:val="Normln"/>
    <w:link w:val="Nadpis2Char"/>
    <w:unhideWhenUsed/>
    <w:qFormat/>
    <w:rsid w:val="00852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H3,Nadpis_3_úroveň,Záhlaví 3,V_Head3,V_Head31,V_Head32,Podkapitola2,ASAPHeading 3,Sub Paragraph,Podkapitola21,Podkapitola podkapitoly základní kapitoly,h3,PA Minor Section,Nadpis_3_úroveo,TRM 12 3,TRM 12 I,AR 12 B,1.1.1,Podkapitola 2"/>
    <w:basedOn w:val="Normln"/>
    <w:next w:val="Normln"/>
    <w:link w:val="Nadpis3Char"/>
    <w:rsid w:val="00DB5A80"/>
    <w:pPr>
      <w:keepNext/>
      <w:tabs>
        <w:tab w:val="num" w:pos="720"/>
      </w:tabs>
      <w:spacing w:before="360" w:after="120" w:line="240" w:lineRule="auto"/>
      <w:ind w:right="284"/>
      <w:jc w:val="both"/>
      <w:outlineLvl w:val="2"/>
    </w:pPr>
    <w:rPr>
      <w:rFonts w:ascii="Arial" w:eastAsia="Times" w:hAnsi="Arial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1F7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DB5A80"/>
    <w:pPr>
      <w:tabs>
        <w:tab w:val="num" w:pos="0"/>
      </w:tabs>
      <w:spacing w:before="360" w:after="60" w:line="240" w:lineRule="auto"/>
      <w:jc w:val="both"/>
      <w:outlineLvl w:val="4"/>
    </w:pPr>
    <w:rPr>
      <w:rFonts w:ascii="Times New Roman" w:eastAsia="Times New Roman" w:hAnsi="Times New Roman" w:cs="Times New Roman"/>
      <w:b/>
      <w:i/>
      <w:color w:val="8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B5A80"/>
    <w:pPr>
      <w:tabs>
        <w:tab w:val="num" w:pos="0"/>
      </w:tabs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B5A80"/>
    <w:pPr>
      <w:tabs>
        <w:tab w:val="num" w:pos="0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DB5A80"/>
    <w:pPr>
      <w:tabs>
        <w:tab w:val="num" w:pos="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DB5A80"/>
    <w:pPr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qFormat/>
    <w:locked/>
    <w:rsid w:val="00D053E2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NAKIT List Paragraph,Reference List,s odrážkami,Odrážky"/>
    <w:basedOn w:val="Normln"/>
    <w:link w:val="OdstavecseseznamemChar"/>
    <w:uiPriority w:val="34"/>
    <w:qFormat/>
    <w:rsid w:val="00D053E2"/>
    <w:pPr>
      <w:ind w:left="720"/>
      <w:contextualSpacing/>
    </w:pPr>
  </w:style>
  <w:style w:type="table" w:styleId="Mkatabulky">
    <w:name w:val="Table Grid"/>
    <w:basedOn w:val="Normlntabulka"/>
    <w:uiPriority w:val="39"/>
    <w:rsid w:val="00D053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Chapter Char,H1 Char,1 Char,section Char,ASAPHeading 1 Char,Celého textu Char,V_Head1 Char,Záhlaví 1 Char,h1 Char,Základní kapitola Char,t Char,Kapitola Char,Nadpis I Char,TRM 12 B Char,TRM 16 B Char,1. Char,Kapitola1 Char,Kapitola2 Char"/>
    <w:basedOn w:val="Standardnpsmoodstavce"/>
    <w:link w:val="Nadpis1"/>
    <w:uiPriority w:val="9"/>
    <w:rsid w:val="00A90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h2 Char,H2 Char,Attribute Heading 2 Char,2m Char,hlavicka Char,F2 Char,F21 Char,PA Major Section Char,2 Char,sub-sect Char,21 Char,sub-sect1 Char,22 Char,sub-sect2 Char,211 Char,sub-sect11 Char,ASAPHeading 2 Char,Podkapitola1 Char"/>
    <w:basedOn w:val="Standardnpsmoodstavce"/>
    <w:link w:val="Nadpis2"/>
    <w:rsid w:val="00852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7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6F3F71"/>
  </w:style>
  <w:style w:type="paragraph" w:styleId="Bezmezer">
    <w:name w:val="No Spacing"/>
    <w:uiPriority w:val="1"/>
    <w:qFormat/>
    <w:rsid w:val="000B4D7C"/>
    <w:pPr>
      <w:spacing w:after="0" w:line="240" w:lineRule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2C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C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C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C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C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C0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E71F7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Podkapitola podkapitoly základní kapitoly Char,h3 Char,PA Minor Section Char"/>
    <w:basedOn w:val="Standardnpsmoodstavce"/>
    <w:link w:val="Nadpis3"/>
    <w:rsid w:val="00DB5A80"/>
    <w:rPr>
      <w:rFonts w:ascii="Arial" w:eastAsia="Times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B5A80"/>
    <w:rPr>
      <w:rFonts w:ascii="Times New Roman" w:eastAsia="Times New Roman" w:hAnsi="Times New Roman" w:cs="Times New Roman"/>
      <w:b/>
      <w:i/>
      <w:color w:val="8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B5A80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B5A80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B5A80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DB5A80"/>
    <w:rPr>
      <w:rFonts w:ascii="Arial" w:eastAsia="Times New Roman" w:hAnsi="Arial" w:cs="Times New Roman"/>
      <w:b/>
      <w:i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D2C5-1FDA-46A8-9530-2F0A6747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2124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Samec</dc:creator>
  <cp:lastModifiedBy>Adamová Jana Ing.</cp:lastModifiedBy>
  <cp:revision>7</cp:revision>
  <dcterms:created xsi:type="dcterms:W3CDTF">2025-05-14T12:59:00Z</dcterms:created>
  <dcterms:modified xsi:type="dcterms:W3CDTF">2025-05-15T10:45:00Z</dcterms:modified>
</cp:coreProperties>
</file>