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bookmarkStart w:id="0" w:name="_GoBack"/>
      <w:bookmarkEnd w:id="0"/>
      <w:r>
        <w:rPr>
          <w:rFonts w:ascii="Arial" w:hAnsi="Arial" w:cs="Arial"/>
          <w:b/>
          <w:bCs/>
          <w:color w:val="000080"/>
          <w:sz w:val="28"/>
          <w:szCs w:val="28"/>
        </w:rPr>
        <w:t>ÚVOD: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 xml:space="preserve">Specifické emisní limity pro spalovací stacionární zdroje s výjimkou pístových spalovacích motorů a plynových turbín 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1E72E7" w:rsidRDefault="001E72E7" w:rsidP="001E72E7">
      <w:pPr>
        <w:pStyle w:val="Zkladntext"/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</w:pPr>
      <w:r>
        <w:rPr>
          <w:rFonts w:ascii="Times New Roman" w:hAnsi="Times New Roman" w:cs="Times New Roman"/>
          <w:sz w:val="24"/>
        </w:rPr>
        <w:t>Tabulka 2.1.2 - Specifické emisní limity pro stacionární zdroje uvedené do provozu před 20. prosincem 2018</w:t>
      </w:r>
    </w:p>
    <w:p w:rsidR="001E72E7" w:rsidRDefault="001E72E7" w:rsidP="001E72E7">
      <w:pPr>
        <w:pStyle w:val="Zkladntext"/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Times New Roman" w:hAnsi="Times New Roman" w:cs="Times New Roman"/>
          <w:sz w:val="24"/>
        </w:rPr>
      </w:pPr>
    </w:p>
    <w:p w:rsidR="001E72E7" w:rsidRDefault="001E72E7" w:rsidP="001E72E7">
      <w:pPr>
        <w:rPr>
          <w:sz w:val="4"/>
          <w:szCs w:val="4"/>
        </w:rPr>
      </w:pPr>
      <w:bookmarkStart w:id="1" w:name="f6182969"/>
      <w:bookmarkEnd w:id="1"/>
    </w:p>
    <w:tbl>
      <w:tblPr>
        <w:tblW w:w="0" w:type="auto"/>
        <w:tblInd w:w="45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000" w:firstRow="0" w:lastRow="0" w:firstColumn="0" w:lastColumn="0" w:noHBand="0" w:noVBand="0"/>
      </w:tblPr>
      <w:tblGrid>
        <w:gridCol w:w="2437"/>
        <w:gridCol w:w="543"/>
        <w:gridCol w:w="631"/>
        <w:gridCol w:w="595"/>
        <w:gridCol w:w="466"/>
        <w:gridCol w:w="543"/>
        <w:gridCol w:w="631"/>
        <w:gridCol w:w="595"/>
        <w:gridCol w:w="466"/>
        <w:gridCol w:w="751"/>
        <w:gridCol w:w="631"/>
        <w:gridCol w:w="595"/>
        <w:gridCol w:w="681"/>
      </w:tblGrid>
      <w:tr w:rsidR="001E72E7" w:rsidTr="00A13085">
        <w:tc>
          <w:tcPr>
            <w:tcW w:w="2437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Nadpistabulky"/>
            </w:pPr>
            <w:r>
              <w:rPr>
                <w:rFonts w:ascii="Calibri" w:hAnsi="Calibri" w:cs="Calibri"/>
                <w:sz w:val="20"/>
                <w:szCs w:val="20"/>
              </w:rPr>
              <w:t>Druh paliva</w:t>
            </w:r>
          </w:p>
        </w:tc>
        <w:tc>
          <w:tcPr>
            <w:tcW w:w="7128" w:type="dxa"/>
            <w:gridSpan w:val="1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Nadpistabulky"/>
            </w:pPr>
            <w:r>
              <w:rPr>
                <w:rFonts w:ascii="Calibri" w:hAnsi="Calibri" w:cs="Calibri"/>
                <w:sz w:val="20"/>
                <w:szCs w:val="20"/>
              </w:rPr>
              <w:t>Specifické emisní limity [mg.m3]</w:t>
            </w:r>
          </w:p>
        </w:tc>
      </w:tr>
      <w:tr w:rsidR="001E72E7" w:rsidTr="00A13085">
        <w:tc>
          <w:tcPr>
            <w:tcW w:w="2437" w:type="dxa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Obsahtabulky"/>
              <w:snapToGrid w:val="0"/>
            </w:pPr>
          </w:p>
        </w:tc>
        <w:tc>
          <w:tcPr>
            <w:tcW w:w="2235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Nadpistabulky"/>
            </w:pPr>
            <w:r>
              <w:rPr>
                <w:rFonts w:ascii="Calibri" w:hAnsi="Calibri" w:cs="Calibri"/>
                <w:sz w:val="20"/>
                <w:szCs w:val="20"/>
              </w:rPr>
              <w:t>&gt; 0,3 až &lt; 1 MW</w:t>
            </w:r>
          </w:p>
        </w:tc>
        <w:tc>
          <w:tcPr>
            <w:tcW w:w="2235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Nadpistabulky"/>
            </w:pPr>
            <w:r>
              <w:rPr>
                <w:rFonts w:ascii="Calibri" w:hAnsi="Calibri" w:cs="Calibri"/>
                <w:sz w:val="20"/>
                <w:szCs w:val="20"/>
              </w:rPr>
              <w:t>1-5 MW</w:t>
            </w:r>
          </w:p>
        </w:tc>
        <w:tc>
          <w:tcPr>
            <w:tcW w:w="2658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Nadpistabulky"/>
            </w:pPr>
            <w:r>
              <w:rPr>
                <w:rFonts w:ascii="Calibri" w:hAnsi="Calibri" w:cs="Calibri"/>
                <w:sz w:val="20"/>
                <w:szCs w:val="20"/>
              </w:rPr>
              <w:t>&gt; 5-50 MW</w:t>
            </w:r>
          </w:p>
        </w:tc>
      </w:tr>
      <w:tr w:rsidR="001E72E7" w:rsidTr="00A13085">
        <w:tc>
          <w:tcPr>
            <w:tcW w:w="2437" w:type="dxa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Obsahtabulky"/>
              <w:snapToGrid w:val="0"/>
            </w:pPr>
          </w:p>
        </w:tc>
        <w:tc>
          <w:tcPr>
            <w:tcW w:w="54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Nadpistabulky"/>
            </w:pPr>
            <w:r>
              <w:rPr>
                <w:rFonts w:ascii="Calibri" w:hAnsi="Calibri" w:cs="Calibri"/>
                <w:sz w:val="20"/>
                <w:szCs w:val="20"/>
              </w:rPr>
              <w:t>SO2</w:t>
            </w:r>
          </w:p>
        </w:tc>
        <w:tc>
          <w:tcPr>
            <w:tcW w:w="63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Nadpistabulky"/>
            </w:pPr>
            <w:r>
              <w:rPr>
                <w:rFonts w:ascii="Calibri" w:hAnsi="Calibri" w:cs="Calibri"/>
                <w:sz w:val="20"/>
                <w:szCs w:val="20"/>
              </w:rPr>
              <w:t>NOx</w:t>
            </w:r>
          </w:p>
        </w:tc>
        <w:tc>
          <w:tcPr>
            <w:tcW w:w="5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Nadpistabulky"/>
            </w:pPr>
            <w:r>
              <w:rPr>
                <w:rFonts w:ascii="Calibri" w:hAnsi="Calibri" w:cs="Calibri"/>
                <w:sz w:val="20"/>
                <w:szCs w:val="20"/>
              </w:rPr>
              <w:t>TZL</w:t>
            </w:r>
          </w:p>
        </w:tc>
        <w:tc>
          <w:tcPr>
            <w:tcW w:w="46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Nadpistabulky"/>
            </w:pPr>
            <w:r>
              <w:rPr>
                <w:rFonts w:ascii="Calibri" w:hAnsi="Calibri" w:cs="Calibri"/>
                <w:sz w:val="20"/>
                <w:szCs w:val="20"/>
              </w:rPr>
              <w:t>CO</w:t>
            </w:r>
          </w:p>
        </w:tc>
        <w:tc>
          <w:tcPr>
            <w:tcW w:w="54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Nadpistabulky"/>
            </w:pPr>
            <w:r>
              <w:rPr>
                <w:rFonts w:ascii="Calibri" w:hAnsi="Calibri" w:cs="Calibri"/>
                <w:sz w:val="20"/>
                <w:szCs w:val="20"/>
              </w:rPr>
              <w:t>SO2</w:t>
            </w:r>
          </w:p>
        </w:tc>
        <w:tc>
          <w:tcPr>
            <w:tcW w:w="63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Nadpistabulky"/>
            </w:pPr>
            <w:r>
              <w:rPr>
                <w:rFonts w:ascii="Calibri" w:hAnsi="Calibri" w:cs="Calibri"/>
                <w:sz w:val="20"/>
                <w:szCs w:val="20"/>
              </w:rPr>
              <w:t>NOx</w:t>
            </w:r>
          </w:p>
        </w:tc>
        <w:tc>
          <w:tcPr>
            <w:tcW w:w="5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Nadpistabulky"/>
            </w:pPr>
            <w:r>
              <w:rPr>
                <w:rFonts w:ascii="Calibri" w:hAnsi="Calibri" w:cs="Calibri"/>
                <w:sz w:val="20"/>
                <w:szCs w:val="20"/>
              </w:rPr>
              <w:t>TZL</w:t>
            </w:r>
          </w:p>
        </w:tc>
        <w:tc>
          <w:tcPr>
            <w:tcW w:w="46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Nadpistabulky"/>
            </w:pPr>
            <w:r>
              <w:rPr>
                <w:rFonts w:ascii="Calibri" w:hAnsi="Calibri" w:cs="Calibri"/>
                <w:sz w:val="20"/>
                <w:szCs w:val="20"/>
              </w:rPr>
              <w:t>CO</w:t>
            </w:r>
          </w:p>
        </w:tc>
        <w:tc>
          <w:tcPr>
            <w:tcW w:w="75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Nadpistabulky"/>
            </w:pPr>
            <w:r>
              <w:rPr>
                <w:rFonts w:ascii="Calibri" w:hAnsi="Calibri" w:cs="Calibri"/>
                <w:sz w:val="20"/>
                <w:szCs w:val="20"/>
              </w:rPr>
              <w:t>SO2</w:t>
            </w:r>
          </w:p>
        </w:tc>
        <w:tc>
          <w:tcPr>
            <w:tcW w:w="63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Nadpistabulky"/>
            </w:pPr>
            <w:r>
              <w:rPr>
                <w:rFonts w:ascii="Calibri" w:hAnsi="Calibri" w:cs="Calibri"/>
                <w:sz w:val="20"/>
                <w:szCs w:val="20"/>
              </w:rPr>
              <w:t>NOx</w:t>
            </w:r>
          </w:p>
        </w:tc>
        <w:tc>
          <w:tcPr>
            <w:tcW w:w="5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Nadpistabulky"/>
            </w:pPr>
            <w:r>
              <w:rPr>
                <w:rFonts w:ascii="Calibri" w:hAnsi="Calibri" w:cs="Calibri"/>
                <w:sz w:val="20"/>
                <w:szCs w:val="20"/>
              </w:rPr>
              <w:t>TZL</w:t>
            </w:r>
          </w:p>
        </w:tc>
        <w:tc>
          <w:tcPr>
            <w:tcW w:w="68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0F0F0"/>
            <w:vAlign w:val="center"/>
          </w:tcPr>
          <w:p w:rsidR="001E72E7" w:rsidRDefault="001E72E7" w:rsidP="00A13085">
            <w:pPr>
              <w:pStyle w:val="Nadpistabulky"/>
            </w:pPr>
            <w:r>
              <w:rPr>
                <w:rFonts w:ascii="Calibri" w:hAnsi="Calibri" w:cs="Calibri"/>
                <w:sz w:val="20"/>
                <w:szCs w:val="20"/>
              </w:rPr>
              <w:t>CO</w:t>
            </w:r>
          </w:p>
        </w:tc>
      </w:tr>
      <w:tr w:rsidR="001E72E7" w:rsidTr="00A13085">
        <w:tc>
          <w:tcPr>
            <w:tcW w:w="243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</w:pPr>
            <w:r>
              <w:rPr>
                <w:rFonts w:ascii="Calibri" w:hAnsi="Calibri" w:cs="Calibri"/>
                <w:sz w:val="20"/>
                <w:szCs w:val="20"/>
              </w:rPr>
              <w:t>Pevné palivo</w:t>
            </w:r>
          </w:p>
        </w:tc>
        <w:tc>
          <w:tcPr>
            <w:tcW w:w="54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600</w:t>
            </w:r>
          </w:p>
        </w:tc>
        <w:tc>
          <w:tcPr>
            <w:tcW w:w="5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46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54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5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46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75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1500   </w:t>
            </w:r>
            <w:hyperlink r:id="rId7" w:anchor="f4825305" w:history="1">
              <w:r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1)</w:t>
              </w:r>
            </w:hyperlink>
          </w:p>
        </w:tc>
        <w:tc>
          <w:tcPr>
            <w:tcW w:w="63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5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8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500   </w:t>
            </w:r>
            <w:hyperlink r:id="rId8" w:anchor="f4825307" w:history="1">
              <w:r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3)</w:t>
              </w:r>
            </w:hyperlink>
          </w:p>
        </w:tc>
      </w:tr>
      <w:tr w:rsidR="001E72E7" w:rsidTr="00A13085">
        <w:tc>
          <w:tcPr>
            <w:tcW w:w="243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</w:pPr>
            <w:r>
              <w:rPr>
                <w:rFonts w:ascii="Calibri" w:hAnsi="Calibri" w:cs="Calibri"/>
                <w:sz w:val="20"/>
                <w:szCs w:val="20"/>
              </w:rPr>
              <w:t>Kapalné palivo</w:t>
            </w:r>
          </w:p>
        </w:tc>
        <w:tc>
          <w:tcPr>
            <w:tcW w:w="54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5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54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450  </w:t>
            </w:r>
            <w:hyperlink r:id="rId9" w:anchor="f4825308" w:history="1">
              <w:r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4)</w:t>
              </w:r>
            </w:hyperlink>
          </w:p>
        </w:tc>
        <w:tc>
          <w:tcPr>
            <w:tcW w:w="5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46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75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1500   </w:t>
            </w:r>
            <w:hyperlink r:id="rId10" w:anchor="f4825308" w:history="1">
              <w:r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4)</w:t>
              </w:r>
            </w:hyperlink>
          </w:p>
        </w:tc>
        <w:tc>
          <w:tcPr>
            <w:tcW w:w="63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450   </w:t>
            </w:r>
            <w:hyperlink r:id="rId11" w:anchor="f4825308" w:history="1">
              <w:r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4)</w:t>
              </w:r>
            </w:hyperlink>
          </w:p>
        </w:tc>
        <w:tc>
          <w:tcPr>
            <w:tcW w:w="5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8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1E72E7" w:rsidTr="00A13085">
        <w:tc>
          <w:tcPr>
            <w:tcW w:w="243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</w:pPr>
            <w:r>
              <w:rPr>
                <w:rFonts w:ascii="Calibri" w:hAnsi="Calibri" w:cs="Calibri"/>
                <w:sz w:val="20"/>
                <w:szCs w:val="20"/>
              </w:rPr>
              <w:t>Plynné palivo a zkapalněný plyn</w:t>
            </w:r>
          </w:p>
        </w:tc>
        <w:tc>
          <w:tcPr>
            <w:tcW w:w="54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  <w:hyperlink r:id="rId12" w:anchor="f4825306" w:history="1">
              <w:r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2)</w:t>
              </w:r>
            </w:hyperlink>
          </w:p>
        </w:tc>
        <w:tc>
          <w:tcPr>
            <w:tcW w:w="5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4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 </w:t>
            </w:r>
            <w:hyperlink r:id="rId13" w:anchor="f4825306" w:history="1">
              <w:r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2)</w:t>
              </w:r>
            </w:hyperlink>
          </w:p>
        </w:tc>
        <w:tc>
          <w:tcPr>
            <w:tcW w:w="5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75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 </w:t>
            </w:r>
            <w:hyperlink r:id="rId14" w:anchor="f4825306" w:history="1">
              <w:r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2)</w:t>
              </w:r>
            </w:hyperlink>
          </w:p>
        </w:tc>
        <w:tc>
          <w:tcPr>
            <w:tcW w:w="5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E72E7" w:rsidRDefault="001E72E7" w:rsidP="00A13085">
            <w:pPr>
              <w:pStyle w:val="Obsahtabulky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</w:tbl>
    <w:p w:rsidR="001E72E7" w:rsidRDefault="001E72E7" w:rsidP="001E72E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color w:val="000000"/>
        </w:rPr>
      </w:pPr>
    </w:p>
    <w:p w:rsidR="001E72E7" w:rsidRDefault="001E72E7" w:rsidP="001E72E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  <w:bookmarkStart w:id="2" w:name="f6182970"/>
      <w:bookmarkEnd w:id="2"/>
      <w:r>
        <w:rPr>
          <w:rFonts w:ascii="Times New Roman" w:hAnsi="Times New Roman" w:cs="Times New Roman"/>
          <w:color w:val="000000"/>
          <w:sz w:val="18"/>
          <w:szCs w:val="18"/>
        </w:rPr>
        <w:t>Vysvětlivky:</w:t>
      </w:r>
    </w:p>
    <w:p w:rsidR="001E72E7" w:rsidRDefault="001E72E7" w:rsidP="001E72E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:rsidR="001E72E7" w:rsidRDefault="001E72E7" w:rsidP="001E72E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  <w:bookmarkStart w:id="3" w:name="pozn1"/>
      <w:bookmarkStart w:id="4" w:name="f6183017"/>
      <w:bookmarkEnd w:id="3"/>
      <w:bookmarkEnd w:id="4"/>
      <w:r>
        <w:rPr>
          <w:rStyle w:val="Promnn"/>
          <w:rFonts w:ascii="Times New Roman" w:hAnsi="Times New Roman" w:cs="Times New Roman"/>
          <w:b/>
          <w:color w:val="000000"/>
          <w:sz w:val="18"/>
          <w:szCs w:val="18"/>
        </w:rPr>
        <w:t>1)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 Na spalovací stacionární zdroje spalující hnědé uhlí, provozované nejvýše 3200 provozních hodin ročně, se   </w:t>
      </w:r>
    </w:p>
    <w:p w:rsidR="001E72E7" w:rsidRDefault="001E72E7" w:rsidP="001E72E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vztahuje specifický emisní limit 2000 mg.m-3.</w:t>
      </w:r>
    </w:p>
    <w:p w:rsidR="001E72E7" w:rsidRDefault="001E72E7" w:rsidP="001E72E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  <w:bookmarkStart w:id="5" w:name="pozn2"/>
      <w:bookmarkStart w:id="6" w:name="f6183031"/>
      <w:bookmarkEnd w:id="5"/>
      <w:bookmarkEnd w:id="6"/>
      <w:r>
        <w:rPr>
          <w:rStyle w:val="Promnn"/>
          <w:rFonts w:ascii="Times New Roman" w:hAnsi="Times New Roman" w:cs="Times New Roman"/>
          <w:b/>
          <w:color w:val="000000"/>
          <w:sz w:val="18"/>
          <w:szCs w:val="18"/>
        </w:rPr>
        <w:t>2)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 Pokud provozovatel prokáže, že nelze této hodnoty z technických důvodů dosáhnout použitím </w:t>
      </w:r>
    </w:p>
    <w:p w:rsidR="001E72E7" w:rsidRDefault="001E72E7" w:rsidP="001E72E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nízkoemisních hořáků, platí specifický emisní limit 200 mg.m-3.</w:t>
      </w:r>
    </w:p>
    <w:p w:rsidR="001E72E7" w:rsidRDefault="001E72E7" w:rsidP="001E72E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  <w:bookmarkStart w:id="7" w:name="pozn3"/>
      <w:bookmarkStart w:id="8" w:name="f6183044"/>
      <w:bookmarkEnd w:id="7"/>
      <w:bookmarkEnd w:id="8"/>
      <w:r>
        <w:rPr>
          <w:rStyle w:val="Promnn"/>
          <w:rFonts w:ascii="Times New Roman" w:hAnsi="Times New Roman" w:cs="Times New Roman"/>
          <w:b/>
          <w:color w:val="000000"/>
          <w:sz w:val="18"/>
          <w:szCs w:val="18"/>
        </w:rPr>
        <w:t>3)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 Platí v případě spalování biomasy pro spalování ve stacionárních zdrojích s výjimkou spalování výlisků </w:t>
      </w:r>
    </w:p>
    <w:p w:rsidR="001E72E7" w:rsidRDefault="001E72E7" w:rsidP="001E72E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z takové biomasy.</w:t>
      </w:r>
    </w:p>
    <w:p w:rsidR="001E72E7" w:rsidRDefault="001E72E7" w:rsidP="001E72E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  <w:bookmarkStart w:id="9" w:name="pozn4"/>
      <w:bookmarkStart w:id="10" w:name="f6183054"/>
      <w:bookmarkEnd w:id="9"/>
      <w:bookmarkEnd w:id="10"/>
      <w:r>
        <w:rPr>
          <w:rStyle w:val="Promnn"/>
          <w:rFonts w:ascii="Times New Roman" w:hAnsi="Times New Roman" w:cs="Times New Roman"/>
          <w:b/>
          <w:color w:val="000000"/>
          <w:sz w:val="18"/>
          <w:szCs w:val="18"/>
        </w:rPr>
        <w:t>4)</w:t>
      </w:r>
      <w:r>
        <w:rPr>
          <w:rFonts w:ascii="Times New Roman" w:hAnsi="Times New Roman" w:cs="Times New Roman"/>
          <w:color w:val="000000"/>
          <w:sz w:val="18"/>
          <w:szCs w:val="18"/>
        </w:rPr>
        <w:t> Vztahuje se na spalování těžkého topného oleje a jemu podobných kapalných paliv.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rPr>
          <w:rFonts w:ascii="Arial" w:hAnsi="Arial" w:cs="Arial"/>
          <w:b/>
          <w:bCs/>
          <w:color w:val="000080"/>
          <w:sz w:val="28"/>
          <w:szCs w:val="28"/>
        </w:rPr>
        <w:t>STÁVAJÍCÍ STAV: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</w:rPr>
      </w:pP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V  kotelně Nemocnice Český Krumlov jsou instalovány tyto kotle využívající plynné a  nouzově kapalné palivo: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K1:</w:t>
      </w:r>
      <w:r>
        <w:tab/>
        <w:t xml:space="preserve">VIESSMANN Vitomax 200 </w:t>
      </w:r>
      <w:r>
        <w:tab/>
        <w:t>M241002, r.v. 2002</w:t>
      </w:r>
      <w:r>
        <w:tab/>
      </w:r>
      <w:r>
        <w:tab/>
      </w:r>
      <w:r>
        <w:tab/>
      </w:r>
      <w:r>
        <w:tab/>
        <w:t>3200 kW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K2:</w:t>
      </w:r>
      <w:r>
        <w:tab/>
        <w:t xml:space="preserve">VIESSMANN Vitomax 200 </w:t>
      </w:r>
      <w:r>
        <w:tab/>
        <w:t>HS. r.v. 2002</w:t>
      </w:r>
      <w:r>
        <w:tab/>
      </w:r>
      <w:r>
        <w:tab/>
      </w:r>
      <w:r>
        <w:tab/>
      </w:r>
      <w:r>
        <w:tab/>
      </w:r>
      <w:r>
        <w:tab/>
        <w:t>1000 kW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K3:</w:t>
      </w:r>
      <w:r>
        <w:tab/>
        <w:t>VIESSMANN Vitoplex 200, Typ SX2A r.v. 2012</w:t>
      </w:r>
      <w:r>
        <w:tab/>
      </w:r>
      <w:r>
        <w:tab/>
      </w:r>
      <w:r>
        <w:tab/>
      </w:r>
      <w:r>
        <w:tab/>
        <w:t>1600 kW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Každý z kotlů obsahuje  ekonomizér (vychlazovač spalin)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Stávající výbava kotlů kombinovanými hořáky: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rPr>
          <w:b/>
          <w:bCs/>
        </w:rPr>
        <w:t>K1:</w:t>
      </w:r>
      <w:r>
        <w:tab/>
        <w:t xml:space="preserve">Weishaupt RGL50/2A </w:t>
      </w:r>
      <w:r>
        <w:tab/>
        <w:t xml:space="preserve">ZM-NR  </w:t>
      </w:r>
      <w:r>
        <w:tab/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ab/>
      </w:r>
      <w:r>
        <w:tab/>
        <w:t xml:space="preserve">výr. č. </w:t>
      </w:r>
      <w:r>
        <w:tab/>
      </w:r>
      <w:r>
        <w:tab/>
      </w:r>
      <w:r>
        <w:tab/>
      </w:r>
      <w:r>
        <w:tab/>
        <w:t>5194820</w:t>
      </w:r>
      <w:r>
        <w:tab/>
        <w:t xml:space="preserve"> 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ab/>
      </w:r>
      <w:r>
        <w:tab/>
        <w:t>rok výroby</w:t>
      </w:r>
      <w:r>
        <w:tab/>
      </w:r>
      <w:r>
        <w:tab/>
      </w:r>
      <w:r>
        <w:tab/>
        <w:t>2002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ab/>
      </w:r>
      <w:r>
        <w:tab/>
        <w:t xml:space="preserve">výkon </w:t>
      </w:r>
      <w:r>
        <w:tab/>
      </w:r>
      <w:r>
        <w:tab/>
      </w:r>
      <w:r>
        <w:tab/>
      </w:r>
      <w:r>
        <w:tab/>
        <w:t xml:space="preserve">600 – 5400 kW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ab/>
      </w:r>
      <w:r>
        <w:tab/>
        <w:t>přetlak zemního plynu.:</w:t>
      </w:r>
      <w:r>
        <w:tab/>
        <w:t>1,5 – 50 kPa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ab/>
      </w:r>
      <w:r>
        <w:tab/>
        <w:t>spotřeba TOEL</w:t>
      </w:r>
      <w:r>
        <w:tab/>
      </w:r>
      <w:r>
        <w:tab/>
        <w:t>95 – 453 kg/h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rPr>
          <w:b/>
          <w:bCs/>
        </w:rPr>
        <w:lastRenderedPageBreak/>
        <w:t>K2:</w:t>
      </w:r>
      <w:r>
        <w:tab/>
        <w:t xml:space="preserve">Weishaupt GL7/1D </w:t>
      </w:r>
      <w:r>
        <w:tab/>
      </w:r>
      <w:r>
        <w:tab/>
        <w:t>ZD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ab/>
      </w:r>
      <w:r>
        <w:tab/>
        <w:t xml:space="preserve">výr. č. </w:t>
      </w:r>
      <w:r>
        <w:tab/>
      </w:r>
      <w:r>
        <w:tab/>
      </w:r>
      <w:r>
        <w:tab/>
      </w:r>
      <w:r>
        <w:tab/>
        <w:t>5184681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ab/>
      </w:r>
      <w:r>
        <w:tab/>
        <w:t>rok výroby</w:t>
      </w:r>
      <w:r>
        <w:tab/>
      </w:r>
      <w:r>
        <w:tab/>
      </w:r>
      <w:r>
        <w:tab/>
        <w:t>2002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ab/>
      </w:r>
      <w:r>
        <w:tab/>
        <w:t xml:space="preserve">výkon </w:t>
      </w:r>
      <w:r>
        <w:tab/>
      </w:r>
      <w:r>
        <w:tab/>
      </w:r>
      <w:r>
        <w:tab/>
      </w:r>
      <w:r>
        <w:tab/>
        <w:t xml:space="preserve">300 – 1750 kW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ab/>
      </w:r>
      <w:r>
        <w:tab/>
        <w:t>přetlak zemního plynu.:</w:t>
      </w:r>
      <w:r>
        <w:tab/>
        <w:t>1,5 – 50 kPa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ab/>
      </w:r>
      <w:r>
        <w:tab/>
        <w:t>spotřeba TOEL</w:t>
      </w:r>
      <w:r>
        <w:tab/>
      </w:r>
      <w:r>
        <w:tab/>
        <w:t>32 – 147 kg/h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rPr>
          <w:b/>
          <w:bCs/>
        </w:rPr>
        <w:t>K3:</w:t>
      </w:r>
      <w:r>
        <w:tab/>
        <w:t>Weishaupt WM - GL20/3-A</w:t>
      </w:r>
      <w:r>
        <w:tab/>
        <w:t>ZM-T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ab/>
      </w:r>
      <w:r>
        <w:tab/>
        <w:t xml:space="preserve">výr. č. </w:t>
      </w:r>
      <w:r>
        <w:tab/>
      </w:r>
      <w:r>
        <w:tab/>
      </w:r>
      <w:r>
        <w:tab/>
      </w:r>
      <w:r>
        <w:tab/>
        <w:t>40123831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ab/>
      </w:r>
      <w:r>
        <w:tab/>
        <w:t>rok výroby</w:t>
      </w:r>
      <w:r>
        <w:tab/>
      </w:r>
      <w:r>
        <w:tab/>
      </w:r>
      <w:r>
        <w:tab/>
        <w:t>2012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ab/>
      </w:r>
      <w:r>
        <w:tab/>
        <w:t xml:space="preserve">výkon </w:t>
      </w:r>
      <w:r>
        <w:tab/>
      </w:r>
      <w:r>
        <w:tab/>
      </w:r>
      <w:r>
        <w:tab/>
      </w:r>
      <w:r>
        <w:tab/>
        <w:t xml:space="preserve">250 – 2450 kW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ab/>
      </w:r>
      <w:r>
        <w:tab/>
        <w:t>přetlak zemního plynu.:</w:t>
      </w:r>
      <w:r>
        <w:tab/>
        <w:t>1,5 – 50 kPa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ab/>
      </w:r>
      <w:r>
        <w:tab/>
        <w:t>spotřeba TOEL</w:t>
      </w:r>
      <w:r>
        <w:tab/>
      </w:r>
      <w:r>
        <w:tab/>
        <w:t>50 – 205 kg/h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rPr>
          <w:rFonts w:ascii="Arial" w:hAnsi="Arial" w:cs="Arial"/>
          <w:b/>
          <w:bCs/>
          <w:color w:val="000080"/>
          <w:sz w:val="28"/>
          <w:szCs w:val="28"/>
        </w:rPr>
        <w:t>NAVRHOVANÝ STAV: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Specifikace hořáků je uvedena v příloze. Jedná se o referenční výrobky, které mohou být nahrazeny jinými výrobky, dosahujícími potřebné technické, výkonové a ekologické.</w:t>
      </w:r>
    </w:p>
    <w:p w:rsidR="001E72E7" w:rsidRDefault="001E72E7" w:rsidP="001E72E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1E72E7" w:rsidRDefault="001E72E7" w:rsidP="001E72E7">
      <w:pPr>
        <w:pStyle w:val="Zhlav"/>
        <w:jc w:val="both"/>
      </w:pPr>
      <w:r>
        <w:rPr>
          <w:b/>
          <w:bCs/>
        </w:rPr>
        <w:t>Demontáže</w:t>
      </w:r>
    </w:p>
    <w:p w:rsidR="001E72E7" w:rsidRDefault="001E72E7" w:rsidP="001E72E7">
      <w:pPr>
        <w:pStyle w:val="Zhlav"/>
        <w:jc w:val="both"/>
      </w:pPr>
    </w:p>
    <w:p w:rsidR="001E72E7" w:rsidRDefault="001E72E7" w:rsidP="001E72E7">
      <w:pPr>
        <w:pStyle w:val="Zhlav"/>
        <w:jc w:val="both"/>
      </w:pPr>
      <w:r>
        <w:t>Provedena bude demontáž dvou hořáků kotlů K2 a K3. Odpojeny budou v obou případech přívody zemního plynu a TOEL (lehkého topného oleje). Demontované zařízení bude ekologicky likvidováno, popř. přenecháno provozovateli.</w:t>
      </w:r>
    </w:p>
    <w:p w:rsidR="001E72E7" w:rsidRDefault="001E72E7" w:rsidP="001E72E7">
      <w:pPr>
        <w:pStyle w:val="Zhlav"/>
        <w:jc w:val="both"/>
      </w:pPr>
    </w:p>
    <w:p w:rsidR="00965BB7" w:rsidRDefault="002F4844">
      <w:pPr>
        <w:pStyle w:val="Zhlav"/>
        <w:jc w:val="both"/>
      </w:pPr>
      <w:r>
        <w:rPr>
          <w:b/>
          <w:bCs/>
        </w:rPr>
        <w:t xml:space="preserve">Instalace nových dvoupalivových hořáků kotlů K2  a K3: </w:t>
      </w:r>
    </w:p>
    <w:p w:rsidR="00965BB7" w:rsidRDefault="00965BB7">
      <w:pPr>
        <w:pStyle w:val="Zhlav"/>
        <w:jc w:val="both"/>
        <w:rPr>
          <w:b/>
          <w:bCs/>
        </w:rPr>
      </w:pPr>
    </w:p>
    <w:p w:rsidR="00965BB7" w:rsidRDefault="002F4844">
      <w:pPr>
        <w:pStyle w:val="Zhlav"/>
        <w:jc w:val="both"/>
      </w:pPr>
      <w:r>
        <w:rPr>
          <w:b/>
          <w:bCs/>
          <w:u w:val="single"/>
        </w:rPr>
        <w:t>Kotel K2</w:t>
      </w:r>
    </w:p>
    <w:p w:rsidR="00965BB7" w:rsidRDefault="00965BB7">
      <w:pPr>
        <w:pStyle w:val="Zhlav"/>
        <w:jc w:val="both"/>
      </w:pP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 xml:space="preserve">Dvoupalivový hořák pro kotel </w:t>
      </w:r>
      <w:r w:rsidR="001E72E7">
        <w:t xml:space="preserve">K2 </w:t>
      </w:r>
      <w:r>
        <w:t xml:space="preserve">o výkonu </w:t>
      </w:r>
      <w:r>
        <w:tab/>
      </w:r>
      <w:r>
        <w:tab/>
      </w:r>
      <w:r>
        <w:tab/>
      </w:r>
      <w:r w:rsidR="001E72E7">
        <w:tab/>
      </w:r>
      <w:r w:rsidR="001E72E7">
        <w:tab/>
      </w:r>
      <w:r w:rsidR="001E72E7">
        <w:tab/>
        <w:t xml:space="preserve">     </w:t>
      </w:r>
      <w:r>
        <w:t>1 ks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1000 kW.  Palivo: 1) STL zemní plyn 20 kPa; 2) TOEL – nouzový provoz,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splňující požadavky § 29 odst.4 Vyhl. 415/2012 Sb</w:t>
      </w:r>
    </w:p>
    <w:p w:rsidR="00965BB7" w:rsidRDefault="00965BB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 xml:space="preserve">Monoblokové provedení včetně míchacího zařízení. Hořák s kompaktním 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 xml:space="preserve">tělem z lehké slitiny s integrovaným ventilátorem  a el.motorem, výkon 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 xml:space="preserve">motoru 3 kW, regulace výkonu plynulá při  použití modulačního regulátoru 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 xml:space="preserve">výkonu pro plyn, regulace výkonu třístupňová při použití  stupňového 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 xml:space="preserve">regulátoru výkonu pro olej. Elektronicky sdružená regulace spalování 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s oddělenými krokovými servopohony a automatická kontrola těsnosti plynových</w:t>
      </w:r>
    </w:p>
    <w:p w:rsidR="00965BB7" w:rsidRDefault="002F4844">
      <w:r>
        <w:t xml:space="preserve">hořáku. Hlídání min. tlaku vzduchu a plynu, vysokonapěťové elektronické </w:t>
      </w:r>
    </w:p>
    <w:p w:rsidR="00965BB7" w:rsidRDefault="002F4844">
      <w:r>
        <w:t xml:space="preserve">zapalování paliva. Dva elektromagnetické ventily pro kapalné i plynné palivo </w:t>
      </w:r>
    </w:p>
    <w:p w:rsidR="00965BB7" w:rsidRDefault="002F4844">
      <w:r>
        <w:t>(plynové ve společném tělese.) Hlídání min. tlaku vzduchu a plynu, tlakově</w:t>
      </w:r>
    </w:p>
    <w:p w:rsidR="00965BB7" w:rsidRDefault="002F4844">
      <w:r>
        <w:t xml:space="preserve">regulovatelné čerpadlo na kap. palivo.  Připojovací hadice. </w:t>
      </w:r>
    </w:p>
    <w:p w:rsidR="00965BB7" w:rsidRDefault="002F4844">
      <w:r>
        <w:t xml:space="preserve">Integrovaný tlumič hluku v prostoru sání vzduchu hořáku. </w:t>
      </w:r>
    </w:p>
    <w:p w:rsidR="00965BB7" w:rsidRDefault="002F4844">
      <w:r>
        <w:t>Obslužná a zobrazovací jednotka  s digitálním displejem pro digitální manager</w:t>
      </w:r>
      <w:r>
        <w:tab/>
      </w:r>
      <w:r>
        <w:tab/>
      </w:r>
      <w:r>
        <w:tab/>
      </w:r>
      <w:r>
        <w:tab/>
      </w:r>
      <w:r>
        <w:tab/>
      </w:r>
    </w:p>
    <w:p w:rsidR="00965BB7" w:rsidRDefault="002F4844">
      <w:pPr>
        <w:pStyle w:val="Zhlav"/>
        <w:jc w:val="both"/>
      </w:pPr>
      <w:r>
        <w:t>Prodloužení hořákové hlavy hořáku o 100 mm</w:t>
      </w:r>
      <w:r>
        <w:tab/>
        <w:t>(volitelně)</w:t>
      </w:r>
      <w:r>
        <w:tab/>
        <w:t xml:space="preserve">1 ks   </w: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 xml:space="preserve">Vybavení hořáku pro konektorové propojení regulačních prvků kotle pomocí </w:t>
      </w:r>
      <w:r>
        <w:tab/>
        <w:t xml:space="preserve">1 ks   </w:t>
      </w:r>
    </w:p>
    <w:p w:rsidR="00965BB7" w:rsidRDefault="002F4844">
      <w:pPr>
        <w:pStyle w:val="Zhlav"/>
        <w:jc w:val="both"/>
      </w:pPr>
      <w:r>
        <w:lastRenderedPageBreak/>
        <w:t>konektorů s elektroovládáním hořáku včetně příslušných protikusů.</w:t>
      </w:r>
      <w:r>
        <w:tab/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 xml:space="preserve">Stabilisační regulátor tlaku plynu  závitové provedení s vnitřním </w:t>
      </w:r>
      <w:r>
        <w:tab/>
        <w:t xml:space="preserve">1 ks   </w:t>
      </w:r>
    </w:p>
    <w:p w:rsidR="00965BB7" w:rsidRDefault="002F4844">
      <w:pPr>
        <w:pStyle w:val="Zhlav"/>
        <w:jc w:val="both"/>
      </w:pPr>
      <w:r>
        <w:t>závitem R 1 1/2", vstupní tlak max. 20 kPa, výstupní tlak 3-7 kPa.</w: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 xml:space="preserve">Plynový závitový filtr, prov. tlak max. 50 kPa, </w:t>
      </w:r>
      <w:r>
        <w:tab/>
      </w:r>
      <w:r>
        <w:tab/>
        <w:t xml:space="preserve">1 ks   </w:t>
      </w:r>
    </w:p>
    <w:p w:rsidR="00965BB7" w:rsidRDefault="002F4844">
      <w:pPr>
        <w:pStyle w:val="Zhlav"/>
        <w:jc w:val="both"/>
      </w:pPr>
      <w:r>
        <w:t>provedení s vnitř. závitem R 1 1/2"</w: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 xml:space="preserve">Plynový závitový kulový kohout, s vnitřním závitem R 11/2", </w:t>
      </w:r>
      <w:r>
        <w:tab/>
        <w:t xml:space="preserve">1 ks   </w:t>
      </w:r>
      <w:r>
        <w:tab/>
      </w:r>
    </w:p>
    <w:p w:rsidR="00965BB7" w:rsidRDefault="002F4844">
      <w:pPr>
        <w:pStyle w:val="Zhlav"/>
        <w:jc w:val="both"/>
      </w:pPr>
      <w:r>
        <w:t>provoz. tlak max. 100 kPa, těsnění teflon.</w: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>Frekvenční měnič otáček motoru ventilátoru umístěný na motoru hořáku.</w:t>
      </w:r>
      <w:r>
        <w:tab/>
        <w:t xml:space="preserve">1 ks  </w: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 xml:space="preserve">Filtr olejový G 1”  pro ELTO, s magnetem k zachycení kovových </w:t>
      </w:r>
      <w:r>
        <w:tab/>
        <w:t xml:space="preserve">1 ks  </w:t>
      </w:r>
    </w:p>
    <w:p w:rsidR="00965BB7" w:rsidRDefault="002F4844">
      <w:pPr>
        <w:pStyle w:val="Zhlav"/>
        <w:jc w:val="both"/>
      </w:pPr>
      <w:r>
        <w:t xml:space="preserve">nečistot, s tělesem z materiálu GGG40 s hvězdicovou nerezovou CrNi vložkou, </w:t>
      </w:r>
    </w:p>
    <w:p w:rsidR="00965BB7" w:rsidRDefault="002F4844">
      <w:pPr>
        <w:pStyle w:val="Zhlav"/>
        <w:jc w:val="both"/>
      </w:pPr>
      <w:r>
        <w:t xml:space="preserve">filtrovací mezera 0,10 mm, provozní tlak do 30 bar, průtočné množství při </w:t>
      </w:r>
    </w:p>
    <w:p w:rsidR="00965BB7" w:rsidRDefault="002F4844">
      <w:pPr>
        <w:pStyle w:val="Zhlav"/>
        <w:jc w:val="both"/>
      </w:pPr>
      <w:r>
        <w:t>instalaci na sací straně před hořákovým čerpadlem pro ELTO 5000 l/h.</w: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>Uzavírací kombinace pro ELTO až TTO sestávající se z kulových</w:t>
      </w:r>
      <w:r>
        <w:tab/>
        <w:t xml:space="preserve">1 ks  </w:t>
      </w:r>
    </w:p>
    <w:p w:rsidR="00965BB7" w:rsidRDefault="002F4844">
      <w:pPr>
        <w:pStyle w:val="Zhlav"/>
        <w:jc w:val="both"/>
      </w:pPr>
      <w:r>
        <w:t>kohoutů G 1", Jt 40, s teflonovým těsněním.</w:t>
      </w:r>
    </w:p>
    <w:p w:rsidR="00965BB7" w:rsidRDefault="00965BB7">
      <w:pPr>
        <w:pStyle w:val="Zhlav"/>
        <w:jc w:val="both"/>
      </w:pPr>
    </w:p>
    <w:p w:rsidR="00965BB7" w:rsidRDefault="008D285E">
      <w:pPr>
        <w:pStyle w:val="Zhlav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71755</wp:posOffset>
                </wp:positionV>
                <wp:extent cx="5818505" cy="0"/>
                <wp:effectExtent l="8890" t="13335" r="11430" b="5715"/>
                <wp:wrapNone/>
                <wp:docPr id="4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A565D" id="Tva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65pt" to="457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/SlgIAAGsFAAAOAAAAZHJzL2Uyb0RvYy54bWysVFFv2jAQfp+0/2D5PU0CCYSooaIh7KXb&#10;KrXTno3tEGuJHdmGUE377zsbSEf3Mk0FyfLZd1++u/vOt3fHrkUHro1QssDxTYQRl1QxIXcF/va8&#10;CTKMjCWSkVZJXuAXbvDd8uOH26HP+UQ1qmVcIwCRJh/6AjfW9nkYGtrwjpgb1XMJl7XSHbFg6l3I&#10;NBkAvWvDSRTNwkFp1mtFuTFwuj5d4qXHr2tO7de6NtyitsDAzfpV+3Xr1nB5S/KdJn0j6JkG+Q8W&#10;HRESPjpCrYklaK/FX1CdoFoZVdsbqrpQ1bWg3OcA2cTRm2yeGtJznwsUx/Rjmcz7wdIvh0eNBCtw&#10;gpEkHbTo+UB07Aoz9CaH+1I+apcaPcqn/kHRHwZJVTZE7rgn+PzSQ5SPCK9CnGF6gN8OnxUDH7K3&#10;ylfpWOvOQUL+6Oib8TI2gx8tonCYZnGWRilG9HIXkvwS2GtjP3HVIbcpcCukqxPJyeHBWKAOrhcX&#10;dyzVRrSt73Ur0VDgxXQGaqAEFFe3xPpYo1rBnJ+LMHq3LVuNDgSEM01m6SpxJQHcKzet9pJ53IYT&#10;Vp33loj2tAf/Vjo87rV4IgfW0cLWn0O2Xic/F9GiyqosCZLJrAqSaL0OVpsyCWabeJ6up+uyXMe/&#10;HNE4yRvBGJeO60WzcfJvmjhPz0lto2rH+oTX6D5hIHvNdLVJo3kyzYL5PJ0GybSKgvtsUwarMp7N&#10;5tV9eV+9YVr57M37kB1L6VipveX6qWEDYsIpYZouJjEGA2Z8Mo/cDyPS7uBxolZjpJX9Lmzjhesk&#10;5zCuep1F7n/u9Yh+KsSlh84au3DO7bVU0PNLf/08uBE4DdNWsZdH7WTkRgMm2gedXx/3ZPxpe6/X&#10;N3L5GwAA//8DAFBLAwQUAAYACAAAACEAqMhEMtoAAAAHAQAADwAAAGRycy9kb3ducmV2LnhtbEyO&#10;zU7DMBCE70i8g7VI3KgToqAS4lQVEgUuIAoS1228JAF7HcV2G94eVxzgOD+a+erVbI3Y0+QHxwry&#10;RQaCuHV64E7B2+vdxRKED8gajWNS8E0eVs3pSY2Vdgd+of02dCKNsK9QQR/CWEnp254s+oUbiVP2&#10;4SaLIcmpk3rCQxq3Rl5m2ZW0OHB66HGk257ar220Cp6X9+VTlPiwMY9xQ/HzPV8XhVLnZ/P6BkSg&#10;OfyV4Yif0KFJTDsXWXthFBzBQ7LzAkSKr/OyBLH7NWRTy//8zQ8AAAD//wMAUEsBAi0AFAAGAAgA&#10;AAAhALaDOJL+AAAA4QEAABMAAAAAAAAAAAAAAAAAAAAAAFtDb250ZW50X1R5cGVzXS54bWxQSwEC&#10;LQAUAAYACAAAACEAOP0h/9YAAACUAQAACwAAAAAAAAAAAAAAAAAvAQAAX3JlbHMvLnJlbHNQSwEC&#10;LQAUAAYACAAAACEAMWvf0pYCAABrBQAADgAAAAAAAAAAAAAAAAAuAgAAZHJzL2Uyb0RvYy54bWxQ&#10;SwECLQAUAAYACAAAACEAqMhEMtoAAAAHAQAADwAAAAAAAAAAAAAAAADwBAAAZHJzL2Rvd25yZXYu&#10;eG1sUEsFBgAAAAAEAAQA8wAAAPcFAAAAAA==&#10;" strokecolor="#3465a4" strokeweight=".26mm"/>
            </w:pict>
          </mc:Fallback>
        </mc:AlternateConten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>Demontáž stávajícího zařízení, ekologická likvidace</w:t>
      </w:r>
      <w:r>
        <w:tab/>
        <w:t xml:space="preserve">1 kpt </w: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>Dopojení nového zařízení na straně zemního plynu: Potrubí DN 40 – DN 65</w:t>
      </w:r>
      <w:r>
        <w:tab/>
        <w:t xml:space="preserve">1,2 m </w:t>
      </w:r>
    </w:p>
    <w:p w:rsidR="00965BB7" w:rsidRDefault="002F4844">
      <w:pPr>
        <w:pStyle w:val="Zhlav"/>
        <w:jc w:val="both"/>
      </w:pPr>
      <w:r>
        <w:t xml:space="preserve">včetně pomocných prvků,  nátěrů </w:t>
      </w:r>
    </w:p>
    <w:p w:rsidR="00965BB7" w:rsidRDefault="002F4844">
      <w:pPr>
        <w:pStyle w:val="Zhlav"/>
        <w:jc w:val="both"/>
      </w:pPr>
      <w:r>
        <w:t xml:space="preserve">Dopojení nového zařízení na straně TOEL: flexibilní hadice DN 25 </w:t>
      </w:r>
      <w:r>
        <w:tab/>
        <w:t xml:space="preserve">1,5 m  </w:t>
      </w:r>
    </w:p>
    <w:p w:rsidR="00965BB7" w:rsidRDefault="002F4844">
      <w:pPr>
        <w:pStyle w:val="Zhlav"/>
        <w:jc w:val="both"/>
      </w:pPr>
      <w:r>
        <w:t>včetně pomocných prvků</w: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>Výchozí revize zařízení</w:t>
      </w:r>
      <w:r>
        <w:tab/>
      </w:r>
      <w:r>
        <w:tab/>
        <w:t xml:space="preserve">1 kpt  </w:t>
      </w:r>
    </w:p>
    <w:p w:rsidR="00965BB7" w:rsidRDefault="002F4844">
      <w:pPr>
        <w:pStyle w:val="Zhlav"/>
        <w:jc w:val="both"/>
      </w:pPr>
      <w:r>
        <w:t>Přezkoušení všech provozních režimů</w:t>
      </w:r>
      <w:r>
        <w:tab/>
      </w:r>
      <w:r>
        <w:tab/>
        <w:t xml:space="preserve">24 h     </w:t>
      </w:r>
      <w:r>
        <w:tab/>
      </w:r>
      <w:r>
        <w:tab/>
      </w:r>
    </w:p>
    <w:p w:rsidR="00965BB7" w:rsidRDefault="002F4844">
      <w:pPr>
        <w:pStyle w:val="Zhlav"/>
        <w:jc w:val="both"/>
      </w:pPr>
      <w:r>
        <w:t>Předání technické dokumentace</w:t>
      </w:r>
      <w:r>
        <w:tab/>
      </w:r>
      <w:r>
        <w:tab/>
        <w:t xml:space="preserve">1 kpt  </w:t>
      </w:r>
    </w:p>
    <w:p w:rsidR="00965BB7" w:rsidRDefault="002F4844">
      <w:pPr>
        <w:pStyle w:val="Zhlav"/>
        <w:jc w:val="both"/>
      </w:pPr>
      <w:r>
        <w:t xml:space="preserve">Zaškolení obsluhy </w:t>
      </w:r>
    </w:p>
    <w:p w:rsidR="00965BB7" w:rsidRDefault="00965BB7">
      <w:pPr>
        <w:pStyle w:val="Zhlav"/>
        <w:jc w:val="both"/>
      </w:pPr>
    </w:p>
    <w:p w:rsidR="00965BB7" w:rsidRDefault="008D285E">
      <w:pPr>
        <w:pStyle w:val="Zhlav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112395</wp:posOffset>
                </wp:positionV>
                <wp:extent cx="5762625" cy="0"/>
                <wp:effectExtent l="7620" t="5715" r="11430" b="13335"/>
                <wp:wrapNone/>
                <wp:docPr id="3" name="Tvar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9EC30" id="Tva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8.85pt" to="45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IElAIAAGsFAAAOAAAAZHJzL2Uyb0RvYy54bWysVE2P2jAQvVfqf7B8z+aDJEC0YcWG0Mu2&#10;XWm36tkkDrHq2JFtCKjqf+/YQArbS1UtSNaM7Xl5M/PG9w+HjqM9VZpJkePwLsCIikrWTGxz/O11&#10;7c0w0oaImnApaI6PVOOHxccP90Of0Ui2ktdUIQAROhv6HLfG9Jnv66qlHdF3sqcCDhupOmLAVVu/&#10;VmQA9I77URCk/iBV3StZUa1hd3U6xAuH3zS0Ml+bRlODeI6Bm3GrcuvGrv7inmRbRfqWVWca5D9Y&#10;dIQJ+OgItSKGoJ1if0F1rFJSy8bcVbLzZdOwirocIJsweJPNS0t66nKB4uh+LJN+P9jqy/5ZIVbn&#10;eIKRIB206HVPVGQLM/Q6g/NCPCubWnUQL/2TrH5oJGTRErGljuDrsYeo0Eb4NyHW0T3Ab4bPsoY7&#10;ZGekq9KhUZ2FhPzRwTXjODaDHgyqYDOZplEaJRhVlzOfZJfAXmnzicoOWSPHnAlbJ5KR/ZM2lgjJ&#10;LlfstpBrxrnrNRdoyPE8ccgEFNdwYlyslpzV9p6N0Gq7KbhCewLCmcRpsoxdgnByfU3JnagdbktJ&#10;XZ5tQxg/2cCDC4tHnRZP5MA7GDDdPmTrdPJzHszLWTmLvThKSy8OVitvuS5iL12H02Q1WRXFKvxl&#10;iYZx1rK6psJyvWg2jP9NE+fpOaltVO1YH/8W3RUSyN4yXa6TYBpPZt50mky8eFIG3uNsXXjLIkzT&#10;aflYPJZvmJYue/0+ZMdSWlZyZ6h6aesB1cwqYZLMoxCDAzMeTQP7w4jwLTxOlVEYKWm+M9M64VrJ&#10;WYybXs8C+z/3ekQ/FeLSQ+uNXTjn9qdU0PNLf9082BE4DdNG1sdndZkTmGgXdH597JNx7YN9/UYu&#10;fgMAAP//AwBQSwMEFAAGAAgAAAAhAOoemtnZAAAABgEAAA8AAABkcnMvZG93bnJldi54bWxMj8FO&#10;wzAQRO9I/IO1SNyoTSVICXGqlqoSEr1Q+AA3XuKIeB3ZbpP+fRdxgOPOjGbfVMvJ9+KEMXWBNNzP&#10;FAikJtiOWg2fH9u7BYiUDVnTB0INZ0ywrK+vKlPaMNI7nva5FVxCqTQaXM5DKWVqHHqTZmFAYu8r&#10;RG8yn7GVNpqRy30v50o9Sm864g/ODPjisPneH72GNa1X243dGDfH8fVN7eIkd4XWtzfT6hlExin/&#10;heEHn9GhZqZDOJJNotfwwDlWiwIEu09qwcsOv4KsK/kfv74AAAD//wMAUEsBAi0AFAAGAAgAAAAh&#10;ALaDOJL+AAAA4QEAABMAAAAAAAAAAAAAAAAAAAAAAFtDb250ZW50X1R5cGVzXS54bWxQSwECLQAU&#10;AAYACAAAACEAOP0h/9YAAACUAQAACwAAAAAAAAAAAAAAAAAvAQAAX3JlbHMvLnJlbHNQSwECLQAU&#10;AAYACAAAACEAUyOiBJQCAABrBQAADgAAAAAAAAAAAAAAAAAuAgAAZHJzL2Uyb0RvYy54bWxQSwEC&#10;LQAUAAYACAAAACEA6h6a2dkAAAAGAQAADwAAAAAAAAAAAAAAAADuBAAAZHJzL2Rvd25yZXYueG1s&#10;UEsFBgAAAAAEAAQA8wAAAPQFAAAAAA==&#10;" strokecolor="#3465a4"/>
            </w:pict>
          </mc:Fallback>
        </mc:AlternateContent>
      </w:r>
    </w:p>
    <w:p w:rsidR="00965BB7" w:rsidRDefault="00965BB7">
      <w:pPr>
        <w:pStyle w:val="Zhlav"/>
        <w:jc w:val="both"/>
      </w:pPr>
    </w:p>
    <w:p w:rsidR="00965BB7" w:rsidRDefault="00965BB7">
      <w:pPr>
        <w:pStyle w:val="Zhlav"/>
        <w:jc w:val="both"/>
      </w:pP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rPr>
          <w:b/>
          <w:bCs/>
          <w:u w:val="single"/>
        </w:rPr>
        <w:t>Kotel K3</w:t>
      </w:r>
    </w:p>
    <w:p w:rsidR="00965BB7" w:rsidRDefault="00965BB7">
      <w:pPr>
        <w:pStyle w:val="Zhlav"/>
        <w:jc w:val="both"/>
      </w:pP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Dvoupalivový hořák pro kotel</w:t>
      </w:r>
      <w:r w:rsidR="001E72E7">
        <w:t xml:space="preserve"> K3</w:t>
      </w:r>
      <w:r w:rsidR="001E72E7">
        <w:tab/>
      </w:r>
      <w:r w:rsidR="001E72E7">
        <w:tab/>
      </w:r>
      <w:r w:rsidR="001E72E7">
        <w:tab/>
      </w:r>
      <w:r w:rsidR="001E72E7">
        <w:tab/>
      </w:r>
      <w:r w:rsidR="001E72E7">
        <w:tab/>
        <w:t xml:space="preserve">  </w:t>
      </w:r>
      <w:r>
        <w:tab/>
      </w:r>
      <w:r>
        <w:tab/>
      </w:r>
      <w:r>
        <w:tab/>
        <w:t>1 ks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 xml:space="preserve">o výkonu 1600 kW.  Palivo: 1) STL zemní plyn 20 kPa; 2) TOEL – nouzový 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provoz</w:t>
      </w:r>
      <w:r>
        <w:tab/>
        <w:t>; splňující požadavky § 29 odst.4 Vyhl. 415/2012 Sb.</w:t>
      </w:r>
    </w:p>
    <w:p w:rsidR="00965BB7" w:rsidRDefault="00965BB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Včetně speciální míchacího zařízení pro extra nízkou emisi NOx a CO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 xml:space="preserve">Hořák s kompaktním tělem z lehké slitiny s integrovaným ventilátorem 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a motorem o výkonu 10kW, vysokonapěťové zapalování paliva, regulace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 xml:space="preserve">výkonu plynulá při použití modulačního regulátoru výkonu. Elektronicky 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sdružená regulace spalování s oddělenými krokovými servopohony a automatická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lastRenderedPageBreak/>
        <w:t xml:space="preserve">kontrola těsnosti plynových armatur. Hlídání min. tlaku vzduchu a plynu, 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 xml:space="preserve">vysokonapěťové zapalování paliva. Dva elektromagnetické ventily pro kapalné 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 xml:space="preserve">i plynné palivo (plynové ve společném tělese.) Hlídání min. tlaku vzduchu 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 xml:space="preserve">a plynu, tlakové čerpadlo s elektromagnetickou spojkou spínanou při provozu 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na kap. palivo je zabudované na těle hořáku. Připojovací hadice. Zapalovací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 xml:space="preserve">plynový ventil R 3/4". Umístění a montáž digitální automatiky hořáku vlevo. 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 xml:space="preserve">Umístění a montáž armatur DMV, kontroly těsnosti, hlídače tlaku plynu </w:t>
      </w: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a propojení zapalovacího ventilu vlevo.</w:t>
      </w:r>
    </w:p>
    <w:p w:rsidR="00965BB7" w:rsidRDefault="00965BB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965BB7" w:rsidRDefault="00965BB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965BB7" w:rsidRDefault="002F4844">
      <w:pPr>
        <w:pStyle w:val="Zhlav"/>
        <w:jc w:val="both"/>
      </w:pPr>
      <w:r>
        <w:t>Vybavení hořáku pro konektorové propojení regulačních prvků kotle</w:t>
      </w:r>
      <w:r>
        <w:tab/>
        <w:t xml:space="preserve">1 ks   </w:t>
      </w:r>
    </w:p>
    <w:p w:rsidR="00965BB7" w:rsidRDefault="002F4844">
      <w:pPr>
        <w:pStyle w:val="Zhlav"/>
        <w:jc w:val="both"/>
      </w:pPr>
      <w:r>
        <w:t xml:space="preserve"> pomocí konektorů  s elektroovládáním  hořáku včetně příslušných protikusů.</w:t>
      </w:r>
      <w:r>
        <w:tab/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>Stabilisační regulátor tlaku plynu  závitové provedení</w:t>
      </w:r>
      <w:r>
        <w:tab/>
        <w:t xml:space="preserve">1 ks   </w:t>
      </w:r>
    </w:p>
    <w:p w:rsidR="00965BB7" w:rsidRDefault="002F4844">
      <w:pPr>
        <w:pStyle w:val="Zhlav"/>
        <w:jc w:val="both"/>
      </w:pPr>
      <w:r>
        <w:t>s vnitřním závitem R 2", vstupní tlak 20 kPa, výstupní tlak 2,5-5,5 kPa</w: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>Plynový závitový filtr, provozní tlak max. 50 kPa,</w:t>
      </w:r>
      <w:r>
        <w:tab/>
        <w:t xml:space="preserve">1 ks  </w:t>
      </w:r>
    </w:p>
    <w:p w:rsidR="00965BB7" w:rsidRDefault="002F4844">
      <w:pPr>
        <w:pStyle w:val="Zhlav"/>
        <w:jc w:val="both"/>
      </w:pPr>
      <w:r>
        <w:t>provedení s vnitřním závitem R 2"</w: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>Plynový závitový kulový kohout  s vnitřním závitem R 2",</w:t>
      </w:r>
      <w:r>
        <w:tab/>
        <w:t xml:space="preserve">1 ks  </w:t>
      </w:r>
    </w:p>
    <w:p w:rsidR="00965BB7" w:rsidRDefault="002F4844">
      <w:pPr>
        <w:pStyle w:val="Zhlav"/>
        <w:jc w:val="both"/>
      </w:pPr>
      <w:r>
        <w:t>provozní tlak max. 500 kPa, těsnění teflon.</w: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 xml:space="preserve">Hořákový manažeru s modulem pro regulaci otáček ventilátoru </w:t>
      </w:r>
      <w:r>
        <w:tab/>
        <w:t xml:space="preserve">1 ks  </w:t>
      </w:r>
    </w:p>
    <w:p w:rsidR="00965BB7" w:rsidRDefault="002F4844">
      <w:pPr>
        <w:pStyle w:val="Zhlav"/>
        <w:jc w:val="both"/>
      </w:pPr>
      <w:r>
        <w:t xml:space="preserve">hořáku v závislosti na výkonu a s modulem určeným k regulaci výkonu hořáku </w:t>
      </w:r>
    </w:p>
    <w:p w:rsidR="00965BB7" w:rsidRDefault="002F4844">
      <w:pPr>
        <w:pStyle w:val="Zhlav"/>
        <w:jc w:val="both"/>
      </w:pPr>
      <w:r>
        <w:t xml:space="preserve">v závislosti na teplotě nebo tlaku média, vstupní signál od teplotního čidla </w:t>
      </w:r>
    </w:p>
    <w:p w:rsidR="00965BB7" w:rsidRDefault="002F4844">
      <w:pPr>
        <w:pStyle w:val="Zhlav"/>
        <w:jc w:val="both"/>
      </w:pPr>
      <w:r>
        <w:t>Pt100 nebo tlakového čidla.</w: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>Frekvenční měnič otáček motoru ventilátoru umístěný na motoru hořáku.</w:t>
      </w:r>
      <w:r>
        <w:tab/>
        <w:t xml:space="preserve">1 ks  </w: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 xml:space="preserve">Filtr olejový G 1” pro ELTO, s magnetem k zachycení kovových </w:t>
      </w:r>
      <w:r>
        <w:tab/>
        <w:t xml:space="preserve">1 ks  </w:t>
      </w:r>
    </w:p>
    <w:p w:rsidR="00965BB7" w:rsidRDefault="002F4844">
      <w:pPr>
        <w:pStyle w:val="Zhlav"/>
        <w:jc w:val="both"/>
      </w:pPr>
      <w:r>
        <w:t xml:space="preserve">nečistot, s tělesem z materiálu GGG40 s hvězdicovou nerezovou CrNi vložkou, </w:t>
      </w:r>
    </w:p>
    <w:p w:rsidR="00965BB7" w:rsidRDefault="002F4844">
      <w:pPr>
        <w:pStyle w:val="Zhlav"/>
        <w:jc w:val="both"/>
      </w:pPr>
      <w:r>
        <w:t xml:space="preserve">filtrovací mezera 0,10 mm, provozní tlak do 30 bar, průtočné množství při </w:t>
      </w:r>
    </w:p>
    <w:p w:rsidR="00965BB7" w:rsidRDefault="002F4844">
      <w:pPr>
        <w:pStyle w:val="Zhlav"/>
        <w:jc w:val="both"/>
      </w:pPr>
      <w:r>
        <w:t>instalaci na sací straně před hořákovým čerpadlem pro ELTO 5000 l/h.</w: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>Uzavírací kombinace pro ELTO až TTO sestávající se z kulových</w:t>
      </w:r>
      <w:r>
        <w:tab/>
        <w:t xml:space="preserve">1 ks  </w:t>
      </w:r>
    </w:p>
    <w:p w:rsidR="00965BB7" w:rsidRDefault="002F4844">
      <w:pPr>
        <w:pStyle w:val="Zhlav"/>
        <w:jc w:val="both"/>
      </w:pPr>
      <w:r>
        <w:t>kohoutů G 1", Jt 40, s teflonovým těsněním.</w:t>
      </w:r>
    </w:p>
    <w:p w:rsidR="00965BB7" w:rsidRDefault="00965BB7">
      <w:pPr>
        <w:pStyle w:val="Zhlav"/>
        <w:jc w:val="both"/>
      </w:pPr>
    </w:p>
    <w:p w:rsidR="00965BB7" w:rsidRDefault="008D285E">
      <w:pPr>
        <w:pStyle w:val="Zhlav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71755</wp:posOffset>
                </wp:positionV>
                <wp:extent cx="5818505" cy="0"/>
                <wp:effectExtent l="8890" t="6985" r="11430" b="12065"/>
                <wp:wrapNone/>
                <wp:docPr id="2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5C0F3" id="Tvar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65pt" to="457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k7lwIAAGsFAAAOAAAAZHJzL2Uyb0RvYy54bWysVFFv2jAQfp+0/2D5PU0CCYSooaIh7KXb&#10;KrXTno3tEGuJHdmGUE377zsbSEf3Mk0FyfLZd1++u/vOt3fHrkUHro1QssDxTYQRl1QxIXcF/va8&#10;CTKMjCWSkVZJXuAXbvDd8uOH26HP+UQ1qmVcIwCRJh/6AjfW9nkYGtrwjpgb1XMJl7XSHbFg6l3I&#10;NBkAvWvDSRTNwkFp1mtFuTFwuj5d4qXHr2tO7de6NtyitsDAzfpV+3Xr1nB5S/KdJn0j6JkG+Q8W&#10;HRESPjpCrYklaK/FX1CdoFoZVdsbqrpQ1bWg3OcA2cTRm2yeGtJznwsUx/Rjmcz7wdIvh0eNBCvw&#10;BCNJOmjR84Ho2BVm6E0O96V81C41epRP/YOiPwySqmyI3HFP8PmlhygfEV6FOMP0AL8dPisGPmRv&#10;la/Ssdadg4T80dE342VsBj9aROEwzeIsjVKM6OUuJPklsNfGfuKqQ25T4FZIVyeSk8ODsUAdXC8u&#10;7liqjWhb3+tWoqHAi+kM1EAJKK5uifWxRrWCOT8XYfRuW7YaHQgIZ5rM0lXiSgK4V25a7SXzuA0n&#10;rDrvLRHtaQ/+rXR43GvxRA6so4WtP4dsvU5+LqJFlVVZEiSTWRUk0XodrDZlEsw28TxdT9dluY5/&#10;OaJxkjeCMS4d14tm4+TfNHGenpPaRtWO9Qmv0X3CQPaa6WqTRvNkmgXzeToNkmkVBffZpgxWZTyb&#10;zav78r56w7Ty2Zv3ITuW0rFSe8v1U8MGxIRTwjRdTGIMBsz4ZB65H0ak3cHjRK3GSCv7XdjGC9dJ&#10;zmFc9TqL3P/c6xH9VIhLD501duGc22upoOeX/vp5cCNwGqatYi+P2snIjQZMtA86vz7uyfjT9l6v&#10;b+TyNwAAAP//AwBQSwMEFAAGAAgAAAAhAKjIRDLaAAAABwEAAA8AAABkcnMvZG93bnJldi54bWxM&#10;js1OwzAQhO9IvIO1SNyoE6KgEuJUFRIFLiAKEtdtvCQBex3FdhveHlcc4Dg/mvnq1WyN2NPkB8cK&#10;8kUGgrh1euBOwdvr3cUShA/IGo1jUvBNHlbN6UmNlXYHfqH9NnQijbCvUEEfwlhJ6dueLPqFG4lT&#10;9uEmiyHJqZN6wkMat0ZeZtmVtDhweuhxpNue2q9ttAqel/flU5T4sDGPcUPx8z1fF4VS52fz+gZE&#10;oDn8leGIn9ChSUw7F1l7YRQcwUOy8wJEiq/zsgSx+zVkU8v//M0PAAAA//8DAFBLAQItABQABgAI&#10;AAAAIQC2gziS/gAAAOEBAAATAAAAAAAAAAAAAAAAAAAAAABbQ29udGVudF9UeXBlc10ueG1sUEsB&#10;Ai0AFAAGAAgAAAAhADj9If/WAAAAlAEAAAsAAAAAAAAAAAAAAAAALwEAAF9yZWxzLy5yZWxzUEsB&#10;Ai0AFAAGAAgAAAAhAFTCGTuXAgAAawUAAA4AAAAAAAAAAAAAAAAALgIAAGRycy9lMm9Eb2MueG1s&#10;UEsBAi0AFAAGAAgAAAAhAKjIRDLaAAAABwEAAA8AAAAAAAAAAAAAAAAA8QQAAGRycy9kb3ducmV2&#10;LnhtbFBLBQYAAAAABAAEAPMAAAD4BQAAAAA=&#10;" strokecolor="#3465a4" strokeweight=".26mm"/>
            </w:pict>
          </mc:Fallback>
        </mc:AlternateConten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>Demontáž stávajícího zařízení, ekologická likvidace</w:t>
      </w:r>
      <w:r>
        <w:tab/>
        <w:t xml:space="preserve">1 kpt </w: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>Dopojení nového zařízení na straně zemního plynu: Potrubí DN 40 – DN 80</w:t>
      </w:r>
      <w:r>
        <w:tab/>
        <w:t xml:space="preserve">1,2 m </w:t>
      </w:r>
    </w:p>
    <w:p w:rsidR="00965BB7" w:rsidRDefault="002F4844">
      <w:pPr>
        <w:pStyle w:val="Zhlav"/>
        <w:jc w:val="both"/>
      </w:pPr>
      <w:r>
        <w:t xml:space="preserve">včetně pomocných prvků,  nátěrů </w: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 xml:space="preserve">Dopojení nového zařízení na straně TOEL: flexibilní hadice DN 25 </w:t>
      </w:r>
      <w:r>
        <w:tab/>
        <w:t xml:space="preserve">1,5 m  </w:t>
      </w:r>
    </w:p>
    <w:p w:rsidR="00965BB7" w:rsidRDefault="002F4844">
      <w:pPr>
        <w:pStyle w:val="Zhlav"/>
        <w:jc w:val="both"/>
      </w:pPr>
      <w:r>
        <w:t>včetně pomocných prvků</w:t>
      </w:r>
    </w:p>
    <w:p w:rsidR="00965BB7" w:rsidRDefault="00965BB7">
      <w:pPr>
        <w:pStyle w:val="Zhlav"/>
        <w:jc w:val="both"/>
      </w:pPr>
    </w:p>
    <w:p w:rsidR="00965BB7" w:rsidRDefault="002F4844">
      <w:pPr>
        <w:pStyle w:val="Zhlav"/>
        <w:jc w:val="both"/>
      </w:pPr>
      <w:r>
        <w:t>Výchozí revize zařízení</w:t>
      </w:r>
      <w:r>
        <w:tab/>
      </w:r>
      <w:r>
        <w:tab/>
        <w:t xml:space="preserve">1 kpt  </w:t>
      </w:r>
    </w:p>
    <w:p w:rsidR="00965BB7" w:rsidRDefault="002F4844">
      <w:pPr>
        <w:pStyle w:val="Zhlav"/>
        <w:jc w:val="both"/>
      </w:pPr>
      <w:r>
        <w:t>Přezkoušení všech provozních režimů</w:t>
      </w:r>
      <w:r>
        <w:tab/>
      </w:r>
      <w:r>
        <w:tab/>
        <w:t xml:space="preserve">24 h     </w:t>
      </w:r>
      <w:r>
        <w:tab/>
      </w:r>
      <w:r>
        <w:tab/>
      </w:r>
    </w:p>
    <w:p w:rsidR="00965BB7" w:rsidRDefault="002F4844">
      <w:pPr>
        <w:pStyle w:val="Zhlav"/>
        <w:jc w:val="both"/>
      </w:pPr>
      <w:r>
        <w:t>Předání technické dokumentace</w:t>
      </w:r>
      <w:r>
        <w:tab/>
      </w:r>
      <w:r>
        <w:tab/>
        <w:t xml:space="preserve">1 kpt  </w:t>
      </w:r>
    </w:p>
    <w:p w:rsidR="00965BB7" w:rsidRDefault="002F4844">
      <w:pPr>
        <w:pStyle w:val="Zhlav"/>
        <w:jc w:val="both"/>
      </w:pPr>
      <w:r>
        <w:lastRenderedPageBreak/>
        <w:t xml:space="preserve">Zaškolení obsluhy </w:t>
      </w:r>
      <w:r>
        <w:tab/>
        <w:t xml:space="preserve"> </w:t>
      </w:r>
      <w:r>
        <w:tab/>
        <w:t xml:space="preserve">1 kpt  </w:t>
      </w:r>
    </w:p>
    <w:p w:rsidR="00965BB7" w:rsidRDefault="00965BB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965BB7" w:rsidRDefault="00965BB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965BB7" w:rsidRDefault="008D285E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51435</wp:posOffset>
                </wp:positionV>
                <wp:extent cx="5754370" cy="0"/>
                <wp:effectExtent l="7620" t="10160" r="10160" b="8890"/>
                <wp:wrapNone/>
                <wp:docPr id="1" name="Tvar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21CC" id="Tvar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.05pt" to="453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EPlAIAAGsFAAAOAAAAZHJzL2Uyb0RvYy54bWysVE2PmzAQvVfqf7C4s0CAkKBNVllCetm2&#10;K+1WPTvYBKvGRrYTElX97x07gSbbS1VtIln+msebeW98/3BsOTpQpZkUCy+6Cz1ERSUJE7uF9+11&#10;4888pA0WBHMp6MI7Ue09LD9+uO+7nE5kIzmhCgGI0HnfLbzGmC4PAl01tMX6TnZUwGEtVYsNLNUu&#10;IAr3gN7yYBKG06CXinRKVlRr2F2fD72lw69rWpmvda2pQXzhATfjRuXGrR2D5T3Odwp3DasuNPB/&#10;sGgxE/DREWqNDUZ7xf6CalmlpJa1uatkG8i6ZhV1OUA2Ufgmm5cGd9TlAsXR3Vgm/X6w1ZfDs0KM&#10;gHYeErgFiV4PWMW2MH2nczgvxLOyqVVH8dI9yeqHRkIWDRY76gi+njqIimxEcBNiF7oD+G3/WRK4&#10;g/dGuioda9VaSMgfHZ0Yp1EMejSogs00S5M4A82q4SzA+RDYKW0+UdkiO1l4nAlbJ5zjw5M2lgjO&#10;hyt2W8gN49xpzQXqF948naSAjMFxNcfGxWrJGbH3bIRWu23BFTpgME6cTNNV4hKEk+trSu4FcbgN&#10;xaS8zA1m/DwHHlxYPOq8eCYHq6OBqduHbJ1Pfs7DeTkrZ4mfTKaln4Trtb/aFIk/3URZuo7XRbGO&#10;flmiUZI3jBAqLNfBs1Hyb564dM/ZbaNrx/oEt+iukED2lulqk4ZZEs/8LEtjP4nL0H+cbQp/VUTT&#10;aVY+Fo/lG6aly16/D9mxlJaV3BuqXhrSI8KsE+J0PgEnEwY9PslC+/MQ5jt4nCqjPKSk+c5M44xr&#10;LWcxbrSehfZ/0XpEPxdi0NCuRhUuuf0pFWg+6Ov6wbbAuZm2kpye1dAn0NEu6PL62Cfjeg3z6zdy&#10;+RsAAP//AwBQSwMEFAAGAAgAAAAhAHqIomXYAAAABAEAAA8AAABkcnMvZG93bnJldi54bWxMjs1O&#10;wzAQhO9IvIO1SNyo3Ur0J41TtVSVkOiFwgNs4yWOiNeR7Tbh7TFc4Dia0TdfuRldJ64UYutZw3Si&#10;QBDX3rTcaHh/OzwsQcSEbLDzTBq+KMKmur0psTB+4Fe6nlIjMoRjgRpsSn0hZawtOYwT3xPn7sMH&#10;hynH0EgTcMhw18mZUnPpsOX8YLGnJ0v15+niNOx4tz3szR7tjIbnF3UMozwutL6/G7drEInG9DeG&#10;H/2sDlV2OvsLmyg6DY95p2E5BZHLlZovQJx/s6xK+V+++gYAAP//AwBQSwECLQAUAAYACAAAACEA&#10;toM4kv4AAADhAQAAEwAAAAAAAAAAAAAAAAAAAAAAW0NvbnRlbnRfVHlwZXNdLnhtbFBLAQItABQA&#10;BgAIAAAAIQA4/SH/1gAAAJQBAAALAAAAAAAAAAAAAAAAAC8BAABfcmVscy8ucmVsc1BLAQItABQA&#10;BgAIAAAAIQBDTPEPlAIAAGsFAAAOAAAAAAAAAAAAAAAAAC4CAABkcnMvZTJvRG9jLnhtbFBLAQIt&#10;ABQABgAIAAAAIQB6iKJl2AAAAAQBAAAPAAAAAAAAAAAAAAAAAO4EAABkcnMvZG93bnJldi54bWxQ&#10;SwUGAAAAAAQABADzAAAA8wUAAAAA&#10;" strokecolor="#3465a4"/>
            </w:pict>
          </mc:Fallback>
        </mc:AlternateContent>
      </w:r>
    </w:p>
    <w:p w:rsidR="00965BB7" w:rsidRDefault="00965BB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965BB7" w:rsidRDefault="002F4844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rPr>
          <w:rFonts w:ascii="Arial" w:hAnsi="Arial" w:cs="Arial"/>
          <w:b/>
          <w:bCs/>
          <w:color w:val="000080"/>
          <w:sz w:val="28"/>
          <w:szCs w:val="28"/>
        </w:rPr>
        <w:t>PŘÍLOHY:</w:t>
      </w:r>
    </w:p>
    <w:p w:rsidR="00965BB7" w:rsidRDefault="00965BB7">
      <w:pPr>
        <w:tabs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</w:rPr>
      </w:pPr>
    </w:p>
    <w:p w:rsidR="00965BB7" w:rsidRDefault="002F4844">
      <w:pPr>
        <w:numPr>
          <w:ilvl w:val="0"/>
          <w:numId w:val="2"/>
        </w:numPr>
        <w:tabs>
          <w:tab w:val="clear" w:pos="720"/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Půdorys kotelny Nemocnice Český Krumlov</w:t>
      </w:r>
    </w:p>
    <w:p w:rsidR="002F4844" w:rsidRDefault="002F4844">
      <w:pPr>
        <w:numPr>
          <w:ilvl w:val="0"/>
          <w:numId w:val="2"/>
        </w:numPr>
        <w:tabs>
          <w:tab w:val="clear" w:pos="720"/>
          <w:tab w:val="left" w:pos="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>
        <w:t>Schéma rozvodů plynu v kotelně Nemocnice Český Krumlov</w:t>
      </w:r>
    </w:p>
    <w:sectPr w:rsidR="002F4844">
      <w:pgSz w:w="11906" w:h="16838"/>
      <w:pgMar w:top="1417" w:right="926" w:bottom="1078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B2C" w:rsidRDefault="00BB5B2C">
      <w:r>
        <w:separator/>
      </w:r>
    </w:p>
  </w:endnote>
  <w:endnote w:type="continuationSeparator" w:id="0">
    <w:p w:rsidR="00BB5B2C" w:rsidRDefault="00BB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ton EE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B2C" w:rsidRDefault="00BB5B2C">
      <w:r>
        <w:separator/>
      </w:r>
    </w:p>
  </w:footnote>
  <w:footnote w:type="continuationSeparator" w:id="0">
    <w:p w:rsidR="00BB5B2C" w:rsidRDefault="00BB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i w:val="0"/>
        <w:iCs w:val="0"/>
        <w:sz w:val="24"/>
        <w:szCs w:val="24"/>
        <w:lang w:val="cs-CZ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E7"/>
    <w:rsid w:val="000A77F8"/>
    <w:rsid w:val="001E72E7"/>
    <w:rsid w:val="002F4844"/>
    <w:rsid w:val="008D285E"/>
    <w:rsid w:val="00965BB7"/>
    <w:rsid w:val="00B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37C5E1-2A86-496C-87FB-9BD68C2B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clear" w:pos="0"/>
        <w:tab w:val="left" w:pos="1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iCs w:val="0"/>
      <w:color w:val="auto"/>
      <w:sz w:val="24"/>
      <w:szCs w:val="24"/>
      <w:lang w:val="cs-CZ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color w:val="000000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000000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5">
    <w:name w:val="WW8Num27z5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  <w:color w:val="000000"/>
    </w:rPr>
  </w:style>
  <w:style w:type="character" w:customStyle="1" w:styleId="WW8NumSt29z1">
    <w:name w:val="WW8NumSt29z1"/>
    <w:rPr>
      <w:rFonts w:ascii="Courier New" w:hAnsi="Courier New" w:cs="Courier New"/>
    </w:rPr>
  </w:style>
  <w:style w:type="character" w:customStyle="1" w:styleId="WW8NumSt29z2">
    <w:name w:val="WW8NumSt29z2"/>
    <w:rPr>
      <w:rFonts w:ascii="Wingdings" w:hAnsi="Wingdings" w:cs="Wingdings"/>
    </w:rPr>
  </w:style>
  <w:style w:type="character" w:customStyle="1" w:styleId="WW8NumSt29z3">
    <w:name w:val="WW8NumSt29z3"/>
    <w:rPr>
      <w:rFonts w:ascii="Symbol" w:hAnsi="Symbol" w:cs="Symbol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character" w:customStyle="1" w:styleId="Promnn">
    <w:name w:val="Proměnný"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autoSpaceDE w:val="0"/>
      <w:jc w:val="both"/>
    </w:pPr>
    <w:rPr>
      <w:rFonts w:ascii="Arial" w:hAnsi="Arial" w:cs="Arial"/>
      <w:sz w:val="20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left="720" w:hanging="720"/>
      <w:jc w:val="both"/>
    </w:p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11">
    <w:name w:val="Nadpis 11"/>
    <w:basedOn w:val="Normln"/>
    <w:next w:val="Normln"/>
    <w:pPr>
      <w:keepNext/>
      <w:autoSpaceDE w:val="0"/>
      <w:spacing w:before="240" w:after="60"/>
    </w:pPr>
    <w:rPr>
      <w:rFonts w:ascii="Arial" w:hAnsi="Arial" w:cs="Arial"/>
      <w:b/>
      <w:bCs/>
      <w:kern w:val="2"/>
      <w:sz w:val="28"/>
      <w:szCs w:val="28"/>
    </w:rPr>
  </w:style>
  <w:style w:type="paragraph" w:customStyle="1" w:styleId="Nadpis21">
    <w:name w:val="Nadpis 21"/>
    <w:basedOn w:val="Normln"/>
    <w:next w:val="Normln"/>
    <w:pPr>
      <w:keepNext/>
      <w:autoSpaceDE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Styl1">
    <w:name w:val="Styl1"/>
    <w:basedOn w:val="Normln"/>
    <w:pPr>
      <w:autoSpaceDE w:val="0"/>
    </w:pPr>
    <w:rPr>
      <w:rFonts w:ascii="Arial" w:hAnsi="Arial" w:cs="Arial"/>
      <w:b/>
      <w:bCs/>
      <w:sz w:val="28"/>
      <w:szCs w:val="28"/>
    </w:rPr>
  </w:style>
  <w:style w:type="paragraph" w:customStyle="1" w:styleId="Nadpis10">
    <w:name w:val="Nadpis1"/>
    <w:next w:val="Normln"/>
    <w:pPr>
      <w:tabs>
        <w:tab w:val="left" w:pos="15"/>
        <w:tab w:val="left" w:pos="708"/>
        <w:tab w:val="left" w:pos="1416"/>
        <w:tab w:val="left" w:pos="178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uppressAutoHyphens/>
      <w:autoSpaceDE w:val="0"/>
      <w:ind w:right="132"/>
      <w:jc w:val="both"/>
    </w:pPr>
    <w:rPr>
      <w:rFonts w:ascii="Palton EE" w:hAnsi="Palton EE"/>
      <w:color w:val="000080"/>
      <w:sz w:val="36"/>
      <w:szCs w:val="36"/>
    </w:rPr>
  </w:style>
  <w:style w:type="paragraph" w:customStyle="1" w:styleId="Zkladntext21">
    <w:name w:val="Základní text 21"/>
    <w:basedOn w:val="Normln"/>
    <w:pPr>
      <w:tabs>
        <w:tab w:val="left" w:pos="1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</w:style>
  <w:style w:type="paragraph" w:customStyle="1" w:styleId="Zkladntext31">
    <w:name w:val="Základní text 31"/>
    <w:basedOn w:val="Normln"/>
    <w:pPr>
      <w:tabs>
        <w:tab w:val="left" w:pos="1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i/>
      <w:iCs/>
    </w:rPr>
  </w:style>
  <w:style w:type="paragraph" w:customStyle="1" w:styleId="Lead">
    <w:name w:val="Lead"/>
    <w:basedOn w:val="Normln"/>
    <w:pPr>
      <w:spacing w:line="262" w:lineRule="atLeast"/>
    </w:pPr>
    <w:rPr>
      <w:rFonts w:ascii="Arial" w:hAnsi="Arial" w:cs="Arial"/>
      <w:b/>
      <w:sz w:val="19"/>
      <w:szCs w:val="20"/>
      <w:lang w:val="de-DE"/>
    </w:rPr>
  </w:style>
  <w:style w:type="paragraph" w:customStyle="1" w:styleId="Titel20">
    <w:name w:val="Titel20"/>
    <w:basedOn w:val="Normln"/>
    <w:pPr>
      <w:spacing w:line="480" w:lineRule="atLeast"/>
    </w:pPr>
    <w:rPr>
      <w:rFonts w:ascii="Arial" w:hAnsi="Arial" w:cs="Arial"/>
      <w:b/>
      <w:sz w:val="40"/>
      <w:szCs w:val="20"/>
      <w:lang w:val="de-DE"/>
    </w:rPr>
  </w:style>
  <w:style w:type="paragraph" w:customStyle="1" w:styleId="Sortiment">
    <w:name w:val="Sortiment"/>
    <w:basedOn w:val="Normln"/>
    <w:pPr>
      <w:spacing w:line="262" w:lineRule="atLeast"/>
    </w:pPr>
    <w:rPr>
      <w:rFonts w:ascii="Arial" w:hAnsi="Arial" w:cs="Arial"/>
      <w:caps/>
      <w:sz w:val="19"/>
      <w:szCs w:val="20"/>
      <w:lang w:val="de-DE"/>
    </w:rPr>
  </w:style>
  <w:style w:type="paragraph" w:customStyle="1" w:styleId="Typen20">
    <w:name w:val="Typen20"/>
    <w:basedOn w:val="Titel20"/>
    <w:pPr>
      <w:spacing w:line="480" w:lineRule="exact"/>
      <w:jc w:val="right"/>
    </w:pPr>
  </w:style>
  <w:style w:type="paragraph" w:customStyle="1" w:styleId="ZTitle">
    <w:name w:val="Z_Title"/>
    <w:basedOn w:val="Normln"/>
    <w:pPr>
      <w:spacing w:line="425" w:lineRule="exact"/>
    </w:pPr>
    <w:rPr>
      <w:rFonts w:ascii="Arial" w:hAnsi="Arial" w:cs="Arial"/>
      <w:b/>
      <w:sz w:val="36"/>
      <w:szCs w:val="20"/>
      <w:lang w:val="de-DE"/>
    </w:rPr>
  </w:style>
  <w:style w:type="paragraph" w:customStyle="1" w:styleId="ZTitle2">
    <w:name w:val="Z_Title 2"/>
    <w:basedOn w:val="Normln"/>
    <w:pPr>
      <w:spacing w:line="255" w:lineRule="exact"/>
    </w:pPr>
    <w:rPr>
      <w:rFonts w:ascii="Arial" w:hAnsi="Arial" w:cs="Arial"/>
      <w:caps/>
      <w:sz w:val="19"/>
      <w:szCs w:val="20"/>
      <w:lang w:val="de-DE"/>
    </w:rPr>
  </w:style>
  <w:style w:type="paragraph" w:customStyle="1" w:styleId="ZTyp">
    <w:name w:val="Z_Typ"/>
    <w:basedOn w:val="ZTitle"/>
    <w:pPr>
      <w:spacing w:before="726"/>
      <w:jc w:val="right"/>
    </w:pPr>
  </w:style>
  <w:style w:type="paragraph" w:customStyle="1" w:styleId="ZAddition">
    <w:name w:val="Z_Addition"/>
    <w:basedOn w:val="Normln"/>
    <w:pPr>
      <w:spacing w:line="255" w:lineRule="atLeast"/>
      <w:ind w:right="227"/>
      <w:jc w:val="right"/>
    </w:pPr>
    <w:rPr>
      <w:rFonts w:ascii="Arial" w:hAnsi="Arial" w:cs="Arial"/>
      <w:sz w:val="19"/>
      <w:szCs w:val="20"/>
      <w:lang w:val="de-DE"/>
    </w:rPr>
  </w:style>
  <w:style w:type="paragraph" w:customStyle="1" w:styleId="ZCaption">
    <w:name w:val="Z_Caption"/>
    <w:basedOn w:val="Normln"/>
    <w:pPr>
      <w:tabs>
        <w:tab w:val="right" w:pos="9979"/>
      </w:tabs>
      <w:spacing w:before="128" w:line="255" w:lineRule="atLeast"/>
      <w:ind w:left="2552"/>
    </w:pPr>
    <w:rPr>
      <w:rFonts w:ascii="Arial" w:hAnsi="Arial" w:cs="Arial"/>
      <w:sz w:val="15"/>
      <w:szCs w:val="20"/>
      <w:lang w:val="de-DE"/>
    </w:rPr>
  </w:style>
  <w:style w:type="paragraph" w:customStyle="1" w:styleId="LO-Normal">
    <w:name w:val="LO-Normal"/>
    <w:basedOn w:val="Normln"/>
    <w:pPr>
      <w:widowControl w:val="0"/>
    </w:pPr>
    <w:rPr>
      <w:rFonts w:ascii="Arial" w:hAnsi="Arial" w:cs="Arial"/>
      <w:sz w:val="22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kladntextChar">
    <w:name w:val="Základní text Char"/>
    <w:link w:val="Zkladntext"/>
    <w:rsid w:val="001E72E7"/>
    <w:rPr>
      <w:rFonts w:ascii="Arial" w:hAnsi="Arial" w:cs="Arial"/>
      <w:szCs w:val="24"/>
    </w:rPr>
  </w:style>
  <w:style w:type="character" w:customStyle="1" w:styleId="ZhlavChar">
    <w:name w:val="Záhlaví Char"/>
    <w:link w:val="Zhlav"/>
    <w:rsid w:val="001E72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415" TargetMode="External"/><Relationship Id="rId13" Type="http://schemas.openxmlformats.org/officeDocument/2006/relationships/hyperlink" Target="https://www.zakonyprolidi.cz/cs/2012-4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12-415" TargetMode="External"/><Relationship Id="rId12" Type="http://schemas.openxmlformats.org/officeDocument/2006/relationships/hyperlink" Target="https://www.zakonyprolidi.cz/cs/2012-4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yprolidi.cz/cs/2012-4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akonyprolidi.cz/cs/2012-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yprolidi.cz/cs/2012-415" TargetMode="External"/><Relationship Id="rId14" Type="http://schemas.openxmlformats.org/officeDocument/2006/relationships/hyperlink" Target="https://www.zakonyprolidi.cz/cs/2012-41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Úvod:</vt:lpstr>
    </vt:vector>
  </TitlesOfParts>
  <Company/>
  <LinksUpToDate>false</LinksUpToDate>
  <CharactersWithSpaces>8493</CharactersWithSpaces>
  <SharedDoc>false</SharedDoc>
  <HLinks>
    <vt:vector size="48" baseType="variant">
      <vt:variant>
        <vt:i4>6094939</vt:i4>
      </vt:variant>
      <vt:variant>
        <vt:i4>21</vt:i4>
      </vt:variant>
      <vt:variant>
        <vt:i4>0</vt:i4>
      </vt:variant>
      <vt:variant>
        <vt:i4>5</vt:i4>
      </vt:variant>
      <vt:variant>
        <vt:lpwstr>https://www.zakonyprolidi.cz/cs/2012-415</vt:lpwstr>
      </vt:variant>
      <vt:variant>
        <vt:lpwstr>f4825306</vt:lpwstr>
      </vt:variant>
      <vt:variant>
        <vt:i4>6094939</vt:i4>
      </vt:variant>
      <vt:variant>
        <vt:i4>18</vt:i4>
      </vt:variant>
      <vt:variant>
        <vt:i4>0</vt:i4>
      </vt:variant>
      <vt:variant>
        <vt:i4>5</vt:i4>
      </vt:variant>
      <vt:variant>
        <vt:lpwstr>https://www.zakonyprolidi.cz/cs/2012-415</vt:lpwstr>
      </vt:variant>
      <vt:variant>
        <vt:lpwstr>f4825306</vt:lpwstr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https://www.zakonyprolidi.cz/cs/2012-415</vt:lpwstr>
      </vt:variant>
      <vt:variant>
        <vt:lpwstr>f4825306</vt:lpwstr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https://www.zakonyprolidi.cz/cs/2012-415</vt:lpwstr>
      </vt:variant>
      <vt:variant>
        <vt:lpwstr>f4825308</vt:lpwstr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https://www.zakonyprolidi.cz/cs/2012-415</vt:lpwstr>
      </vt:variant>
      <vt:variant>
        <vt:lpwstr>f4825308</vt:lpwstr>
      </vt:variant>
      <vt:variant>
        <vt:i4>5439579</vt:i4>
      </vt:variant>
      <vt:variant>
        <vt:i4>6</vt:i4>
      </vt:variant>
      <vt:variant>
        <vt:i4>0</vt:i4>
      </vt:variant>
      <vt:variant>
        <vt:i4>5</vt:i4>
      </vt:variant>
      <vt:variant>
        <vt:lpwstr>https://www.zakonyprolidi.cz/cs/2012-415</vt:lpwstr>
      </vt:variant>
      <vt:variant>
        <vt:lpwstr>f4825308</vt:lpwstr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https://www.zakonyprolidi.cz/cs/2012-415</vt:lpwstr>
      </vt:variant>
      <vt:variant>
        <vt:lpwstr>f4825307</vt:lpwstr>
      </vt:variant>
      <vt:variant>
        <vt:i4>6160475</vt:i4>
      </vt:variant>
      <vt:variant>
        <vt:i4>0</vt:i4>
      </vt:variant>
      <vt:variant>
        <vt:i4>0</vt:i4>
      </vt:variant>
      <vt:variant>
        <vt:i4>5</vt:i4>
      </vt:variant>
      <vt:variant>
        <vt:lpwstr>https://www.zakonyprolidi.cz/cs/2012-415</vt:lpwstr>
      </vt:variant>
      <vt:variant>
        <vt:lpwstr>f4825305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Úvod:</dc:title>
  <dc:subject/>
  <dc:creator>Teplárna Tábor</dc:creator>
  <cp:keywords/>
  <cp:lastModifiedBy>Mgr. Vojtěch Remeň</cp:lastModifiedBy>
  <cp:revision>2</cp:revision>
  <cp:lastPrinted>1995-11-21T15:41:00Z</cp:lastPrinted>
  <dcterms:created xsi:type="dcterms:W3CDTF">2019-11-06T09:11:00Z</dcterms:created>
  <dcterms:modified xsi:type="dcterms:W3CDTF">2019-11-06T09:11:00Z</dcterms:modified>
</cp:coreProperties>
</file>