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0DFC" w14:textId="302A617D" w:rsidR="006C3612" w:rsidRPr="004407DB" w:rsidRDefault="006C3612">
      <w:pPr>
        <w:rPr>
          <w:rFonts w:ascii="Verdana" w:hAnsi="Verdana" w:cs="Calibri"/>
          <w:sz w:val="18"/>
          <w:szCs w:val="18"/>
        </w:rPr>
      </w:pPr>
    </w:p>
    <w:p w14:paraId="251DEA3E" w14:textId="57F5FDC3" w:rsidR="002E595F" w:rsidRPr="004407DB"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both"/>
        <w:rPr>
          <w:rFonts w:ascii="Verdana" w:hAnsi="Verdana" w:cstheme="minorHAnsi"/>
          <w:b/>
          <w:caps/>
          <w:sz w:val="22"/>
          <w:szCs w:val="22"/>
        </w:rPr>
      </w:pPr>
      <w:r w:rsidRPr="004407DB">
        <w:rPr>
          <w:rFonts w:ascii="Verdana" w:hAnsi="Verdana" w:cstheme="minorHAnsi"/>
          <w:b/>
          <w:caps/>
          <w:sz w:val="22"/>
          <w:szCs w:val="22"/>
        </w:rPr>
        <w:t xml:space="preserve">příloha č. </w:t>
      </w:r>
      <w:r w:rsidR="00CA5B5B">
        <w:rPr>
          <w:rFonts w:ascii="Verdana" w:hAnsi="Verdana" w:cstheme="minorHAnsi"/>
          <w:b/>
          <w:caps/>
          <w:sz w:val="22"/>
          <w:szCs w:val="22"/>
        </w:rPr>
        <w:t>2</w:t>
      </w:r>
      <w:r w:rsidRPr="004407DB">
        <w:rPr>
          <w:rFonts w:ascii="Verdana" w:hAnsi="Verdana" w:cstheme="minorHAnsi"/>
          <w:b/>
          <w:caps/>
          <w:sz w:val="22"/>
          <w:szCs w:val="22"/>
        </w:rPr>
        <w:t xml:space="preserve"> </w:t>
      </w:r>
      <w:r w:rsidR="00E14B0A">
        <w:rPr>
          <w:rFonts w:ascii="Verdana" w:hAnsi="Verdana" w:cstheme="minorHAnsi"/>
          <w:b/>
          <w:caps/>
          <w:sz w:val="22"/>
          <w:szCs w:val="22"/>
        </w:rPr>
        <w:t>Zadávací dokumentace</w:t>
      </w:r>
      <w:r w:rsidR="00E14B0A" w:rsidRPr="004407DB">
        <w:rPr>
          <w:rFonts w:ascii="Verdana" w:hAnsi="Verdana" w:cstheme="minorHAnsi"/>
          <w:b/>
          <w:caps/>
          <w:sz w:val="22"/>
          <w:szCs w:val="22"/>
        </w:rPr>
        <w:t xml:space="preserve"> </w:t>
      </w:r>
      <w:r w:rsidRPr="004407DB">
        <w:rPr>
          <w:rFonts w:ascii="Verdana" w:hAnsi="Verdana" w:cstheme="minorHAnsi"/>
          <w:b/>
          <w:caps/>
          <w:sz w:val="22"/>
          <w:szCs w:val="22"/>
        </w:rPr>
        <w:t xml:space="preserve">– </w:t>
      </w:r>
      <w:r w:rsidR="007C205B">
        <w:rPr>
          <w:rFonts w:ascii="Verdana" w:hAnsi="Verdana" w:cstheme="minorHAnsi"/>
          <w:b/>
          <w:caps/>
          <w:sz w:val="22"/>
          <w:szCs w:val="22"/>
        </w:rPr>
        <w:t>KUPNÍ smlouva</w:t>
      </w:r>
      <w:r w:rsidR="007A7B29">
        <w:rPr>
          <w:rFonts w:ascii="Verdana" w:hAnsi="Verdana" w:cstheme="minorHAnsi"/>
          <w:b/>
          <w:caps/>
          <w:sz w:val="22"/>
          <w:szCs w:val="22"/>
        </w:rPr>
        <w:t xml:space="preserve"> – Návrh</w:t>
      </w:r>
    </w:p>
    <w:p w14:paraId="07B005D9" w14:textId="77777777" w:rsidR="002E595F" w:rsidRPr="004407DB" w:rsidRDefault="002E595F" w:rsidP="002E595F">
      <w:pPr>
        <w:pStyle w:val="Odstavecseseznamem"/>
        <w:tabs>
          <w:tab w:val="left" w:pos="284"/>
        </w:tabs>
        <w:ind w:left="0"/>
        <w:rPr>
          <w:rFonts w:ascii="Verdana" w:hAnsi="Verdana" w:cs="Calibri"/>
          <w:b/>
          <w:sz w:val="18"/>
          <w:szCs w:val="18"/>
        </w:rPr>
      </w:pPr>
    </w:p>
    <w:p w14:paraId="06DD0797" w14:textId="7DFFF359"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Níže uvedený text Kupní smlouvy je závazný pro tvorbu návrhu Kupní smlouvy, kterou Dodavatel vloží do své nabídky pro tuto veřejnou zakázku. </w:t>
      </w:r>
    </w:p>
    <w:p w14:paraId="6878D058"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Dodavatel není oprávněn provádět v textu Kupní smlouvy jakékoliv úpravy (změny textu, vypuštění či doplnění jakéhokoliv textu) vyjma těch ustanovení Kupní smlouvy, resp. jejích příloh, jejichž doplnění zadavatel výslovně požaduje nebo umožňuje (označeno v textu Kupní smlouvy žlutě). Doplněná ustanovení textu Kupní smlouvy včetně příloh musejí být v souladu s požadavky zadavatele uvedenými v zadávací dokumentaci a jejích přílohách. </w:t>
      </w:r>
    </w:p>
    <w:p w14:paraId="7DDDAB6A"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C05ED7B" w14:textId="5F279DFB"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Zadavatel si vyhrazuje právo upravit dodavatelem předložený návrh Kupní smlouvy před jejím uzavřením po formálně právní stránce; tyto úpravy však nesmí narušit obsah předmětu plnění Kupní smlouvy (zejména její podstatné náležitosti), a to při zachování souladu konečného znění Kupní smlouvy s podmínkami výzvy této veřejné zakázky. </w:t>
      </w:r>
    </w:p>
    <w:p w14:paraId="4A7457C8"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6C587429"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highlight w:val="yellow"/>
        </w:rPr>
        <w:t>Dodavatel vyplní pouze žlutě označená pole!</w:t>
      </w:r>
    </w:p>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w:t>
      </w:r>
      <w:proofErr w:type="spellStart"/>
      <w:r w:rsidR="00BC7A88" w:rsidRPr="004407DB">
        <w:rPr>
          <w:rFonts w:ascii="Verdana" w:hAnsi="Verdana" w:cs="Calibri"/>
          <w:sz w:val="18"/>
          <w:szCs w:val="18"/>
        </w:rPr>
        <w:t>sp</w:t>
      </w:r>
      <w:proofErr w:type="spellEnd"/>
      <w:r w:rsidR="00BC7A88" w:rsidRPr="004407DB">
        <w:rPr>
          <w:rFonts w:ascii="Verdana" w:hAnsi="Verdana" w:cs="Calibri"/>
          <w:sz w:val="18"/>
          <w:szCs w:val="18"/>
        </w:rPr>
        <w:t xml:space="preserve">.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 xml:space="preserve">Ing. Alenou </w:t>
      </w:r>
      <w:proofErr w:type="spellStart"/>
      <w:r w:rsidRPr="004407DB">
        <w:rPr>
          <w:rFonts w:ascii="Verdana" w:hAnsi="Verdana" w:cs="Calibri"/>
          <w:sz w:val="18"/>
          <w:szCs w:val="18"/>
        </w:rPr>
        <w:t>Kudrlovou</w:t>
      </w:r>
      <w:proofErr w:type="spellEnd"/>
      <w:r w:rsidRPr="004407DB">
        <w:rPr>
          <w:rFonts w:ascii="Verdana" w:hAnsi="Verdana" w:cs="Calibri"/>
          <w:sz w:val="18"/>
          <w:szCs w:val="18"/>
        </w:rPr>
        <w:t>,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77777777" w:rsidR="001F2C9A" w:rsidRPr="006323CB" w:rsidRDefault="001F1D11" w:rsidP="00400C0A">
      <w:pPr>
        <w:numPr>
          <w:ilvl w:val="0"/>
          <w:numId w:val="3"/>
        </w:numPr>
        <w:tabs>
          <w:tab w:val="clear" w:pos="360"/>
        </w:tabs>
        <w:ind w:left="720"/>
        <w:rPr>
          <w:rFonts w:ascii="Verdana" w:hAnsi="Verdana" w:cs="Calibri"/>
          <w:b/>
          <w:sz w:val="18"/>
          <w:szCs w:val="18"/>
          <w:highlight w:val="yellow"/>
        </w:rPr>
      </w:pPr>
      <w:r w:rsidRPr="006323CB">
        <w:rPr>
          <w:rFonts w:ascii="Verdana" w:hAnsi="Verdana" w:cs="Calibri"/>
          <w:b/>
          <w:sz w:val="18"/>
          <w:szCs w:val="18"/>
          <w:highlight w:val="yellow"/>
        </w:rPr>
        <w:t>………………………………………………………………………………………….</w:t>
      </w:r>
    </w:p>
    <w:p w14:paraId="339099CF" w14:textId="77777777" w:rsidR="001F1D11" w:rsidRPr="006323CB" w:rsidRDefault="001F1D11" w:rsidP="001F1D11">
      <w:pPr>
        <w:ind w:left="720"/>
        <w:rPr>
          <w:rFonts w:ascii="Verdana" w:hAnsi="Verdana" w:cs="Calibri"/>
          <w:b/>
          <w:sz w:val="18"/>
          <w:szCs w:val="18"/>
          <w:highlight w:val="yellow"/>
        </w:rPr>
      </w:pPr>
    </w:p>
    <w:p w14:paraId="4D696D38" w14:textId="77777777" w:rsidR="001F2C9A" w:rsidRPr="006323CB" w:rsidRDefault="001F1D11" w:rsidP="00394F48">
      <w:pPr>
        <w:ind w:left="709"/>
        <w:rPr>
          <w:rFonts w:ascii="Verdana" w:hAnsi="Verdana" w:cs="Calibri"/>
          <w:sz w:val="18"/>
          <w:szCs w:val="18"/>
          <w:highlight w:val="yellow"/>
        </w:rPr>
      </w:pPr>
      <w:r w:rsidRPr="006323CB">
        <w:rPr>
          <w:rFonts w:ascii="Verdana" w:hAnsi="Verdana" w:cs="Calibri"/>
          <w:sz w:val="18"/>
          <w:szCs w:val="18"/>
          <w:highlight w:val="yellow"/>
        </w:rPr>
        <w:t>sídlo/ místo podnikání</w:t>
      </w:r>
      <w:r w:rsidRPr="006323CB">
        <w:rPr>
          <w:rFonts w:ascii="Verdana" w:hAnsi="Verdana" w:cs="Calibri"/>
          <w:sz w:val="18"/>
          <w:szCs w:val="18"/>
          <w:highlight w:val="yellow"/>
        </w:rPr>
        <w:tab/>
        <w:t>……………………………………………………….</w:t>
      </w:r>
    </w:p>
    <w:p w14:paraId="608FE112"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IČ</w:t>
      </w:r>
      <w:r w:rsidR="001F1D11" w:rsidRPr="006323CB">
        <w:rPr>
          <w:rFonts w:ascii="Verdana" w:hAnsi="Verdana" w:cs="Calibri"/>
          <w:sz w:val="18"/>
          <w:szCs w:val="18"/>
          <w:highlight w:val="yellow"/>
        </w:rPr>
        <w:t>O:</w:t>
      </w:r>
    </w:p>
    <w:p w14:paraId="0ABA66AE"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DIČ:</w:t>
      </w:r>
    </w:p>
    <w:p w14:paraId="2C01CD58"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 xml:space="preserve">společnost / fyzická osoba zapsaná v obchodním / živnostenském rejstříku vedeném </w:t>
      </w:r>
    </w:p>
    <w:p w14:paraId="5C2F8248" w14:textId="77777777" w:rsidR="001F2C9A" w:rsidRPr="006323CB" w:rsidRDefault="00570E6B" w:rsidP="00394F48">
      <w:pPr>
        <w:ind w:left="709"/>
        <w:rPr>
          <w:rFonts w:ascii="Verdana" w:hAnsi="Verdana" w:cs="Calibri"/>
          <w:sz w:val="18"/>
          <w:szCs w:val="18"/>
          <w:highlight w:val="yellow"/>
        </w:rPr>
      </w:pPr>
      <w:r w:rsidRPr="006323CB">
        <w:rPr>
          <w:rFonts w:ascii="Verdana" w:hAnsi="Verdana" w:cs="Calibri"/>
          <w:sz w:val="18"/>
          <w:szCs w:val="18"/>
          <w:highlight w:val="yellow"/>
        </w:rPr>
        <w:t>zastoupená</w:t>
      </w:r>
      <w:r w:rsidR="001F1D11" w:rsidRPr="006323CB">
        <w:rPr>
          <w:rFonts w:ascii="Verdana" w:hAnsi="Verdana" w:cs="Calibri"/>
          <w:sz w:val="18"/>
          <w:szCs w:val="18"/>
          <w:highlight w:val="yellow"/>
        </w:rPr>
        <w:t>:</w:t>
      </w:r>
      <w:r w:rsidR="001F1D11" w:rsidRPr="006323CB">
        <w:rPr>
          <w:rFonts w:ascii="Verdana" w:hAnsi="Verdana" w:cs="Calibri"/>
          <w:sz w:val="18"/>
          <w:szCs w:val="18"/>
          <w:highlight w:val="yellow"/>
        </w:rPr>
        <w:tab/>
      </w:r>
      <w:r w:rsidR="001F1D11" w:rsidRPr="006323CB">
        <w:rPr>
          <w:rFonts w:ascii="Verdana" w:hAnsi="Verdana" w:cs="Calibri"/>
          <w:sz w:val="18"/>
          <w:szCs w:val="18"/>
          <w:highlight w:val="yellow"/>
        </w:rPr>
        <w:tab/>
        <w:t>……………………………………………………….</w:t>
      </w:r>
    </w:p>
    <w:p w14:paraId="25A5F1C7" w14:textId="77777777" w:rsidR="001F2C9A" w:rsidRPr="006323CB" w:rsidRDefault="001F2C9A" w:rsidP="00394F48">
      <w:pPr>
        <w:ind w:left="709"/>
        <w:rPr>
          <w:rFonts w:ascii="Verdana" w:hAnsi="Verdana" w:cs="Calibri"/>
          <w:sz w:val="18"/>
          <w:szCs w:val="18"/>
          <w:highlight w:val="yellow"/>
        </w:rPr>
      </w:pPr>
    </w:p>
    <w:p w14:paraId="6A392F2A" w14:textId="77777777" w:rsidR="0037441F"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bankovní spojení:</w:t>
      </w:r>
      <w:r w:rsidR="001F1D11" w:rsidRPr="006323CB">
        <w:rPr>
          <w:rFonts w:ascii="Verdana" w:hAnsi="Verdana" w:cs="Calibri"/>
          <w:sz w:val="18"/>
          <w:szCs w:val="18"/>
          <w:highlight w:val="yellow"/>
        </w:rPr>
        <w:tab/>
        <w:t>……………………………………………………….</w:t>
      </w:r>
    </w:p>
    <w:p w14:paraId="2ED3503A" w14:textId="77777777" w:rsidR="001F2C9A" w:rsidRPr="004407DB" w:rsidRDefault="001F1D11" w:rsidP="00394F48">
      <w:pPr>
        <w:ind w:left="709"/>
        <w:rPr>
          <w:rFonts w:ascii="Verdana" w:hAnsi="Verdana" w:cs="Calibri"/>
          <w:sz w:val="18"/>
          <w:szCs w:val="18"/>
        </w:rPr>
      </w:pPr>
      <w:r w:rsidRPr="006323CB">
        <w:rPr>
          <w:rFonts w:ascii="Verdana" w:hAnsi="Verdana" w:cs="Calibri"/>
          <w:sz w:val="18"/>
          <w:szCs w:val="18"/>
          <w:highlight w:val="yellow"/>
        </w:rPr>
        <w:t>číslo účtu:</w:t>
      </w:r>
      <w:r w:rsidRPr="006323CB">
        <w:rPr>
          <w:rFonts w:ascii="Verdana" w:hAnsi="Verdana" w:cs="Calibri"/>
          <w:sz w:val="18"/>
          <w:szCs w:val="18"/>
          <w:highlight w:val="yellow"/>
        </w:rPr>
        <w:tab/>
      </w:r>
      <w:r w:rsidRPr="006323CB">
        <w:rPr>
          <w:rFonts w:ascii="Verdana" w:hAnsi="Verdana" w:cs="Calibri"/>
          <w:sz w:val="18"/>
          <w:szCs w:val="18"/>
          <w:highlight w:val="yellow"/>
        </w:rPr>
        <w:tab/>
        <w:t>……………………………………………………….</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w:t>
      </w:r>
      <w:proofErr w:type="spellStart"/>
      <w:r w:rsidR="00651C0E" w:rsidRPr="004407DB">
        <w:rPr>
          <w:rFonts w:cs="Calibri"/>
          <w:sz w:val="18"/>
          <w:szCs w:val="18"/>
        </w:rPr>
        <w:t>sp</w:t>
      </w:r>
      <w:proofErr w:type="spellEnd"/>
      <w:r w:rsidR="00651C0E" w:rsidRPr="004407DB">
        <w:rPr>
          <w:rFonts w:cs="Calibri"/>
          <w:sz w:val="18"/>
          <w:szCs w:val="18"/>
        </w:rPr>
        <w:t xml:space="preserve">.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77777777"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je </w:t>
      </w:r>
      <w:r w:rsidR="00C23D1D" w:rsidRPr="004407DB">
        <w:rPr>
          <w:rFonts w:cs="Calibri"/>
          <w:i/>
          <w:sz w:val="18"/>
          <w:szCs w:val="18"/>
          <w:highlight w:val="yellow"/>
        </w:rPr>
        <w:t>právnickou / fyzickou</w:t>
      </w:r>
      <w:r w:rsidR="00C23D1D" w:rsidRPr="004407DB">
        <w:rPr>
          <w:rFonts w:cs="Calibri"/>
          <w:sz w:val="18"/>
          <w:szCs w:val="18"/>
        </w:rPr>
        <w:t xml:space="preserve"> osobou řádně podnikající podle zákona č. </w:t>
      </w:r>
      <w:r w:rsidR="00BF1DF8" w:rsidRPr="004407DB">
        <w:rPr>
          <w:rFonts w:cs="Calibri"/>
          <w:sz w:val="18"/>
          <w:szCs w:val="18"/>
        </w:rPr>
        <w:t xml:space="preserve">89/2012 Sb., občanský zákoník, v platném znění </w:t>
      </w:r>
      <w:r w:rsidR="008944B1" w:rsidRPr="004407DB">
        <w:rPr>
          <w:rFonts w:cs="Calibri"/>
          <w:sz w:val="18"/>
          <w:szCs w:val="18"/>
        </w:rPr>
        <w:t>(dále jen „</w:t>
      </w:r>
      <w:r w:rsidR="008944B1" w:rsidRPr="004407DB">
        <w:rPr>
          <w:rFonts w:cs="Calibri"/>
          <w:b/>
          <w:sz w:val="18"/>
          <w:szCs w:val="18"/>
        </w:rPr>
        <w:t>ob</w:t>
      </w:r>
      <w:r w:rsidR="00BF1DF8" w:rsidRPr="004407DB">
        <w:rPr>
          <w:rFonts w:cs="Calibri"/>
          <w:b/>
          <w:sz w:val="18"/>
          <w:szCs w:val="18"/>
        </w:rPr>
        <w:t xml:space="preserve">čanský </w:t>
      </w:r>
      <w:r w:rsidR="008944B1" w:rsidRPr="004407DB">
        <w:rPr>
          <w:rFonts w:cs="Calibri"/>
          <w:b/>
          <w:sz w:val="18"/>
          <w:szCs w:val="18"/>
        </w:rPr>
        <w:t>zákoník</w:t>
      </w:r>
      <w:r w:rsidR="008944B1" w:rsidRPr="004407DB">
        <w:rPr>
          <w:rFonts w:cs="Calibri"/>
          <w:sz w:val="18"/>
          <w:szCs w:val="18"/>
        </w:rPr>
        <w:t>“)</w:t>
      </w:r>
      <w:r w:rsidR="00C23D1D" w:rsidRPr="004407DB">
        <w:rPr>
          <w:rFonts w:cs="Calibri"/>
          <w:sz w:val="18"/>
          <w:szCs w:val="18"/>
        </w:rPr>
        <w:t xml:space="preserve">, a podle zákona č. 455/1991 Sb., v platném znění (živnostenský zákon), která se zabývá </w:t>
      </w:r>
      <w:r w:rsidR="0095566F" w:rsidRPr="004407DB">
        <w:rPr>
          <w:rFonts w:cs="Calibri"/>
          <w:sz w:val="18"/>
          <w:szCs w:val="18"/>
          <w:highlight w:val="yellow"/>
        </w:rPr>
        <w:t>…………………………………………...</w:t>
      </w:r>
      <w:r w:rsidR="00C04539" w:rsidRPr="004407DB">
        <w:rPr>
          <w:rFonts w:cs="Calibri"/>
          <w:sz w:val="18"/>
          <w:szCs w:val="18"/>
        </w:rPr>
        <w:t xml:space="preserve">, jakož i </w:t>
      </w:r>
      <w:r w:rsidR="00C23D1D" w:rsidRPr="004407DB">
        <w:rPr>
          <w:rFonts w:cs="Calibri"/>
          <w:sz w:val="18"/>
          <w:szCs w:val="18"/>
        </w:rPr>
        <w:t>další</w:t>
      </w:r>
      <w:r w:rsidR="00230CA9" w:rsidRPr="004407DB">
        <w:rPr>
          <w:rFonts w:cs="Calibri"/>
          <w:sz w:val="18"/>
          <w:szCs w:val="18"/>
        </w:rPr>
        <w:t>ho</w:t>
      </w:r>
      <w:r w:rsidR="00C23D1D" w:rsidRPr="004407DB">
        <w:rPr>
          <w:rFonts w:cs="Calibri"/>
          <w:sz w:val="18"/>
          <w:szCs w:val="18"/>
        </w:rPr>
        <w:t xml:space="preserve"> plnění sjednan</w:t>
      </w:r>
      <w:r w:rsidR="00230CA9" w:rsidRPr="004407DB">
        <w:rPr>
          <w:rFonts w:cs="Calibri"/>
          <w:sz w:val="18"/>
          <w:szCs w:val="18"/>
        </w:rPr>
        <w:t xml:space="preserve">ého </w:t>
      </w:r>
      <w:r w:rsidR="00C23D1D" w:rsidRPr="004407DB">
        <w:rPr>
          <w:rFonts w:cs="Calibri"/>
          <w:sz w:val="18"/>
          <w:szCs w:val="18"/>
        </w:rPr>
        <w:t>v této smlouvě a která je zapsaná v </w:t>
      </w:r>
      <w:r w:rsidR="00C23D1D" w:rsidRPr="004407DB">
        <w:rPr>
          <w:rFonts w:cs="Calibri"/>
          <w:i/>
          <w:sz w:val="18"/>
          <w:szCs w:val="18"/>
          <w:highlight w:val="yellow"/>
        </w:rPr>
        <w:t>obchodním / živnostenském</w:t>
      </w:r>
      <w:r w:rsidR="00C23D1D" w:rsidRPr="004407DB">
        <w:rPr>
          <w:rFonts w:cs="Calibri"/>
          <w:sz w:val="18"/>
          <w:szCs w:val="18"/>
        </w:rPr>
        <w:t xml:space="preserve"> rejstříku vedeném </w:t>
      </w:r>
      <w:r w:rsidR="00C23D1D" w:rsidRPr="004407DB">
        <w:rPr>
          <w:rFonts w:cs="Calibri"/>
          <w:sz w:val="18"/>
          <w:szCs w:val="18"/>
          <w:highlight w:val="yellow"/>
        </w:rPr>
        <w:t>…………………………………………</w:t>
      </w:r>
      <w:r w:rsidR="00C23D1D" w:rsidRPr="004407DB">
        <w:rPr>
          <w:rFonts w:cs="Calibri"/>
          <w:sz w:val="18"/>
          <w:szCs w:val="18"/>
        </w:rPr>
        <w:t xml:space="preserve"> </w:t>
      </w: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30AAC01A"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202FAD">
        <w:rPr>
          <w:rFonts w:ascii="Verdana" w:hAnsi="Verdana" w:cs="Calibri"/>
          <w:b w:val="0"/>
          <w:bCs/>
          <w:i w:val="0"/>
          <w:sz w:val="18"/>
          <w:szCs w:val="18"/>
          <w:lang w:val="cs-CZ"/>
        </w:rPr>
        <w:t>zdravotnickou techniku</w:t>
      </w:r>
      <w:r w:rsidR="00CD3979">
        <w:rPr>
          <w:rFonts w:ascii="Verdana" w:hAnsi="Verdana" w:cs="Calibri"/>
          <w:b w:val="0"/>
          <w:bCs/>
          <w:i w:val="0"/>
          <w:sz w:val="18"/>
          <w:szCs w:val="18"/>
          <w:lang w:val="cs-CZ"/>
        </w:rPr>
        <w:t>, a to:</w:t>
      </w:r>
    </w:p>
    <w:p w14:paraId="784394D2" w14:textId="71602CFF" w:rsidR="00CD3979" w:rsidRPr="00D85FBD" w:rsidRDefault="00CD3979" w:rsidP="008959AE">
      <w:pPr>
        <w:pStyle w:val="Smlouva4"/>
        <w:keepNext w:val="0"/>
        <w:numPr>
          <w:ilvl w:val="0"/>
          <w:numId w:val="27"/>
        </w:numPr>
        <w:ind w:left="1475" w:hanging="57"/>
        <w:rPr>
          <w:rFonts w:cs="Calibri"/>
          <w:sz w:val="18"/>
          <w:szCs w:val="18"/>
        </w:rPr>
      </w:pPr>
      <w:r w:rsidRPr="00D85FBD">
        <w:rPr>
          <w:rFonts w:cs="Calibri"/>
          <w:sz w:val="18"/>
          <w:szCs w:val="18"/>
        </w:rPr>
        <w:t xml:space="preserve">1 ks </w:t>
      </w:r>
      <w:r w:rsidR="007835C0">
        <w:rPr>
          <w:rFonts w:cs="Calibri"/>
          <w:sz w:val="18"/>
          <w:szCs w:val="18"/>
        </w:rPr>
        <w:t>plicního ventilátoru střední třídy</w:t>
      </w:r>
      <w:r w:rsidRPr="00D85FBD">
        <w:rPr>
          <w:rFonts w:cs="Calibri"/>
          <w:sz w:val="18"/>
          <w:szCs w:val="18"/>
        </w:rPr>
        <w:t>,</w:t>
      </w:r>
    </w:p>
    <w:p w14:paraId="53B13FB6" w14:textId="70BE88C8" w:rsidR="00CD3979" w:rsidRPr="00D85FBD" w:rsidRDefault="007835C0" w:rsidP="008959AE">
      <w:pPr>
        <w:pStyle w:val="Smlouva4"/>
        <w:keepNext w:val="0"/>
        <w:numPr>
          <w:ilvl w:val="0"/>
          <w:numId w:val="27"/>
        </w:numPr>
        <w:ind w:hanging="70"/>
        <w:rPr>
          <w:rFonts w:cs="Calibri"/>
          <w:sz w:val="18"/>
          <w:szCs w:val="18"/>
        </w:rPr>
      </w:pPr>
      <w:r>
        <w:rPr>
          <w:rFonts w:cs="Calibri"/>
          <w:sz w:val="18"/>
          <w:szCs w:val="18"/>
        </w:rPr>
        <w:t>2</w:t>
      </w:r>
      <w:r w:rsidR="00CD3979" w:rsidRPr="00D85FBD">
        <w:rPr>
          <w:rFonts w:cs="Calibri"/>
          <w:sz w:val="18"/>
          <w:szCs w:val="18"/>
        </w:rPr>
        <w:t xml:space="preserve"> ks </w:t>
      </w:r>
      <w:r>
        <w:rPr>
          <w:rFonts w:cs="Calibri"/>
          <w:sz w:val="18"/>
          <w:szCs w:val="18"/>
        </w:rPr>
        <w:t>plicního ventilátoru vyšší třídy</w:t>
      </w:r>
      <w:r w:rsidR="00CD3979" w:rsidRPr="00D85FBD">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21987219"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44E161A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1F2C9A" w:rsidRPr="008959AE">
        <w:rPr>
          <w:rFonts w:cs="Calibri"/>
          <w:b/>
          <w:bCs w:val="0"/>
          <w:sz w:val="18"/>
          <w:szCs w:val="18"/>
        </w:rPr>
        <w:t xml:space="preserve">do </w:t>
      </w:r>
      <w:r w:rsidR="0076083C">
        <w:rPr>
          <w:rFonts w:cs="Calibri"/>
          <w:b/>
          <w:bCs w:val="0"/>
          <w:sz w:val="18"/>
          <w:szCs w:val="18"/>
        </w:rPr>
        <w:t>čtrnácti</w:t>
      </w:r>
      <w:r w:rsidR="008959AE" w:rsidRPr="008959AE">
        <w:rPr>
          <w:rFonts w:cs="Calibri"/>
          <w:b/>
          <w:bCs w:val="0"/>
          <w:sz w:val="18"/>
          <w:szCs w:val="18"/>
        </w:rPr>
        <w:t xml:space="preserve"> </w:t>
      </w:r>
      <w:r w:rsidR="004A5300" w:rsidRPr="008959AE">
        <w:rPr>
          <w:rFonts w:cs="Calibri"/>
          <w:b/>
          <w:bCs w:val="0"/>
          <w:sz w:val="18"/>
          <w:szCs w:val="18"/>
        </w:rPr>
        <w:t>(</w:t>
      </w:r>
      <w:r w:rsidR="0076083C">
        <w:rPr>
          <w:rFonts w:cs="Calibri"/>
          <w:b/>
          <w:bCs w:val="0"/>
          <w:sz w:val="18"/>
          <w:szCs w:val="18"/>
        </w:rPr>
        <w:t>14</w:t>
      </w:r>
      <w:r w:rsidR="004A5300" w:rsidRPr="008959AE">
        <w:rPr>
          <w:rFonts w:cs="Calibri"/>
          <w:b/>
          <w:bCs w:val="0"/>
          <w:sz w:val="18"/>
          <w:szCs w:val="18"/>
        </w:rPr>
        <w:t xml:space="preserve">) </w:t>
      </w:r>
      <w:r w:rsidR="00100203" w:rsidRPr="008959AE">
        <w:rPr>
          <w:rFonts w:cs="Calibri"/>
          <w:b/>
          <w:bCs w:val="0"/>
          <w:sz w:val="18"/>
          <w:szCs w:val="18"/>
        </w:rPr>
        <w:t>týdn</w:t>
      </w:r>
      <w:r w:rsidR="00C9478F" w:rsidRPr="008959AE">
        <w:rPr>
          <w:rFonts w:cs="Calibri"/>
          <w:b/>
          <w:bCs w:val="0"/>
          <w:sz w:val="18"/>
          <w:szCs w:val="18"/>
        </w:rPr>
        <w:t>ů</w:t>
      </w:r>
      <w:r w:rsidR="00B002F4" w:rsidRPr="006952A7">
        <w:rPr>
          <w:rFonts w:cs="Calibri"/>
          <w:sz w:val="18"/>
          <w:szCs w:val="18"/>
        </w:rPr>
        <w:t xml:space="preserve"> </w:t>
      </w:r>
      <w:r w:rsidR="001F2C9A" w:rsidRPr="006952A7">
        <w:rPr>
          <w:rFonts w:cs="Calibri"/>
          <w:sz w:val="18"/>
          <w:szCs w:val="18"/>
        </w:rPr>
        <w:t xml:space="preserve">od </w:t>
      </w:r>
      <w:r w:rsidR="006E0C25" w:rsidRPr="006952A7">
        <w:rPr>
          <w:rFonts w:cs="Calibri"/>
          <w:sz w:val="18"/>
          <w:szCs w:val="18"/>
        </w:rPr>
        <w:t xml:space="preserve">nabytí </w:t>
      </w:r>
      <w:r w:rsidR="001E045D" w:rsidRPr="006952A7">
        <w:rPr>
          <w:rFonts w:cs="Calibri"/>
          <w:sz w:val="18"/>
          <w:szCs w:val="18"/>
        </w:rPr>
        <w:t>účinnosti smlouvy.</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77777777"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Pr="00584B07">
        <w:rPr>
          <w:rFonts w:ascii="Verdana" w:hAnsi="Verdana"/>
          <w:sz w:val="18"/>
          <w:szCs w:val="18"/>
          <w:highlight w:val="yellow"/>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02B8F3C"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64421FE4"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Pr="00584B07">
        <w:rPr>
          <w:rFonts w:ascii="Verdana" w:hAnsi="Verdana" w:cs="Calibri"/>
          <w:sz w:val="18"/>
          <w:szCs w:val="18"/>
          <w:highlight w:val="yellow"/>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4248F787"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7953924E"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Pr="00584B07">
        <w:rPr>
          <w:rFonts w:ascii="Verdana" w:hAnsi="Verdana" w:cs="Calibri"/>
          <w:sz w:val="18"/>
          <w:szCs w:val="18"/>
          <w:highlight w:val="yellow"/>
        </w:rPr>
        <w:t>…………</w:t>
      </w:r>
      <w:proofErr w:type="gramStart"/>
      <w:r w:rsidRPr="00584B07">
        <w:rPr>
          <w:rFonts w:ascii="Verdana" w:hAnsi="Verdana" w:cs="Calibri"/>
          <w:sz w:val="18"/>
          <w:szCs w:val="18"/>
          <w:highlight w:val="yellow"/>
        </w:rPr>
        <w:t>…….</w:t>
      </w:r>
      <w:proofErr w:type="gramEnd"/>
      <w:r w:rsidRPr="00584B07">
        <w:rPr>
          <w:rFonts w:ascii="Verdana" w:hAnsi="Verdana" w:cs="Calibri"/>
          <w:sz w:val="18"/>
          <w:szCs w:val="18"/>
          <w:highlight w:val="yellow"/>
        </w:rPr>
        <w:t>.</w:t>
      </w:r>
      <w:r w:rsidRPr="00584B07">
        <w:rPr>
          <w:rFonts w:ascii="Verdana" w:hAnsi="Verdana" w:cs="Calibri"/>
          <w:sz w:val="18"/>
          <w:szCs w:val="18"/>
        </w:rPr>
        <w:t>Kč bez DPH. Cena za pozáruční servis bude takto hrazena po celou dobu pozáručního servisu, tj. 5 let od skončení záruky, s tím, že první faktura za pozáruční servis bude vystavena do jednoho měsíce po skončení záruky a druhá faktura bude vystavena do 6 měsíců po vystavení faktury předchozí, přičemž pozáruční servis bude Prodávající následně fakturovat vždy v šestiměsíčních cyklech.</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EB14339"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w:t>
      </w:r>
      <w:r w:rsidR="00BF1DF8" w:rsidRPr="004407DB">
        <w:rPr>
          <w:rFonts w:cs="Calibri"/>
          <w:sz w:val="18"/>
          <w:szCs w:val="18"/>
        </w:rPr>
        <w:lastRenderedPageBreak/>
        <w:t xml:space="preserve">musí splňovat formální náležitosti vyplývající z příslušných právních předpisů a musí být zaslána na emailovou adresu </w:t>
      </w:r>
      <w:r w:rsidR="004472DC" w:rsidRPr="004407DB">
        <w:rPr>
          <w:rFonts w:cs="Calibri"/>
          <w:sz w:val="18"/>
          <w:szCs w:val="18"/>
        </w:rPr>
        <w:t>fakturace</w:t>
      </w:r>
      <w:r w:rsidR="00C9478F" w:rsidRPr="004407DB">
        <w:rPr>
          <w:rFonts w:cs="Calibri"/>
          <w:sz w:val="18"/>
          <w:szCs w:val="18"/>
        </w:rPr>
        <w:t>@nem</w:t>
      </w:r>
      <w:r w:rsidR="008F7651" w:rsidRPr="004407DB">
        <w:rPr>
          <w:rFonts w:cs="Calibri"/>
          <w:sz w:val="18"/>
          <w:szCs w:val="18"/>
        </w:rPr>
        <w:t>jh</w:t>
      </w:r>
      <w:r w:rsidR="00C9478F" w:rsidRPr="004407DB">
        <w:rPr>
          <w:rFonts w:cs="Calibri"/>
          <w:sz w:val="18"/>
          <w:szCs w:val="18"/>
        </w:rPr>
        <w:t>.cz.</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36715F2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7C96E2D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w:t>
      </w:r>
      <w:proofErr w:type="spellStart"/>
      <w:r w:rsidR="00EF0AA4" w:rsidRPr="00EF0AA4">
        <w:rPr>
          <w:rFonts w:cs="Calibri"/>
          <w:sz w:val="18"/>
          <w:szCs w:val="18"/>
        </w:rPr>
        <w:t>ust</w:t>
      </w:r>
      <w:proofErr w:type="spellEnd"/>
      <w:r w:rsidR="00EF0AA4" w:rsidRPr="00EF0AA4">
        <w:rPr>
          <w:rFonts w:cs="Calibri"/>
          <w:sz w:val="18"/>
          <w:szCs w:val="18"/>
        </w:rPr>
        <w:t>. § 41 zákona č. 89/2021 Sb., o zdravotnických prostředcích</w:t>
      </w:r>
      <w:r w:rsidR="00EB4E7B">
        <w:rPr>
          <w:rFonts w:cs="Calibri"/>
          <w:sz w:val="18"/>
          <w:szCs w:val="18"/>
        </w:rPr>
        <w:t>, ve znění pozdějších předpisů</w:t>
      </w:r>
      <w:r w:rsidR="00EF0AA4" w:rsidRPr="00EF0AA4">
        <w:rPr>
          <w:rFonts w:cs="Calibri"/>
          <w:sz w:val="18"/>
          <w:szCs w:val="18"/>
        </w:rPr>
        <w:t>, nebo § 61 zákona č. 268/2014 Sb., o diagnostických zdravotnických prostředcích in vitro</w:t>
      </w:r>
      <w:r w:rsidR="00EB4E7B">
        <w:rPr>
          <w:rFonts w:cs="Calibri"/>
          <w:sz w:val="18"/>
          <w:szCs w:val="18"/>
        </w:rPr>
        <w:t>, ve znění pozdějších předpisů,</w:t>
      </w:r>
      <w:r w:rsidR="00EF0AA4" w:rsidRPr="00EF0AA4">
        <w:rPr>
          <w:rFonts w:cs="Calibri"/>
          <w:sz w:val="18"/>
          <w:szCs w:val="18"/>
        </w:rPr>
        <w:t xml:space="preserve"> provedenou výrobcem, jeho zplnomocněným zástupcem, osobou jimi pověřenou, popř. osobou jimi proškolenou (platí pro zdravotnické prostředky, u kterých to </w:t>
      </w:r>
      <w:r w:rsidR="00EF0AA4" w:rsidRPr="003944E1">
        <w:rPr>
          <w:rFonts w:cs="Calibri"/>
          <w:sz w:val="18"/>
          <w:szCs w:val="18"/>
        </w:rPr>
        <w:t xml:space="preserve">stanovil výrobce v návodu k použití),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A506CBA" w14:textId="5FBB140D" w:rsidR="005A5010" w:rsidRPr="005A5010" w:rsidRDefault="00F828D2" w:rsidP="006F57AD">
      <w:pPr>
        <w:pStyle w:val="Smlouva4"/>
        <w:keepNext w:val="0"/>
        <w:tabs>
          <w:tab w:val="num" w:pos="709"/>
        </w:tabs>
        <w:ind w:left="709" w:hanging="709"/>
        <w:rPr>
          <w:rFonts w:cs="Calibri"/>
          <w:sz w:val="18"/>
          <w:szCs w:val="18"/>
        </w:rPr>
      </w:pPr>
      <w:r w:rsidRPr="006F57AD">
        <w:rPr>
          <w:rFonts w:cs="Calibri"/>
          <w:sz w:val="18"/>
          <w:szCs w:val="18"/>
        </w:rPr>
        <w:t>Prodávající</w:t>
      </w:r>
      <w:r w:rsidR="009279A8" w:rsidRPr="006F57AD">
        <w:rPr>
          <w:rFonts w:cs="Calibri"/>
          <w:sz w:val="18"/>
          <w:szCs w:val="18"/>
        </w:rPr>
        <w:t xml:space="preserve"> musí být pojištěn pro případ vzniku škody způsobené svojí provozní činností a pro případ škody způsobené vadou dodaného </w:t>
      </w:r>
      <w:r w:rsidR="009279A8" w:rsidRPr="00360C90">
        <w:rPr>
          <w:rFonts w:cs="Calibri"/>
          <w:sz w:val="18"/>
          <w:szCs w:val="18"/>
        </w:rPr>
        <w:t>Předmětu smlouvy</w:t>
      </w:r>
      <w:r w:rsidR="00A151C6" w:rsidRPr="00360C90">
        <w:rPr>
          <w:rFonts w:cs="Calibri"/>
          <w:sz w:val="18"/>
          <w:szCs w:val="18"/>
        </w:rPr>
        <w:t>, přičemž limit pojistného plnění musí být po celou dobu trvání této smlouvy</w:t>
      </w:r>
      <w:r w:rsidR="005A5010" w:rsidRPr="00360C90">
        <w:rPr>
          <w:rFonts w:cs="Calibri"/>
          <w:sz w:val="18"/>
          <w:szCs w:val="18"/>
        </w:rPr>
        <w:t xml:space="preserve">, resp. </w:t>
      </w:r>
      <w:r w:rsidR="004E3251" w:rsidRPr="00360C90">
        <w:rPr>
          <w:rFonts w:cs="Calibri"/>
          <w:sz w:val="18"/>
          <w:szCs w:val="18"/>
        </w:rPr>
        <w:t>d</w:t>
      </w:r>
      <w:r w:rsidR="005A5010" w:rsidRPr="00360C90">
        <w:rPr>
          <w:rFonts w:cs="Calibri"/>
          <w:sz w:val="18"/>
          <w:szCs w:val="18"/>
        </w:rPr>
        <w:t>o konce záruční doby na Předmět plnění</w:t>
      </w:r>
      <w:r w:rsidR="00A151C6" w:rsidRPr="00360C90">
        <w:rPr>
          <w:rFonts w:cs="Calibri"/>
          <w:sz w:val="18"/>
          <w:szCs w:val="18"/>
        </w:rPr>
        <w:t xml:space="preserve"> minimálně ve výši </w:t>
      </w:r>
      <w:r w:rsidR="006F3301" w:rsidRPr="00360C90">
        <w:rPr>
          <w:rFonts w:cs="Calibri"/>
          <w:sz w:val="18"/>
          <w:szCs w:val="18"/>
        </w:rPr>
        <w:t>2</w:t>
      </w:r>
      <w:r w:rsidR="00D77A2D" w:rsidRPr="00360C90">
        <w:rPr>
          <w:rFonts w:cs="Calibri"/>
          <w:sz w:val="18"/>
          <w:szCs w:val="18"/>
        </w:rPr>
        <w:t xml:space="preserve"> 000 000 Kč (slovy</w:t>
      </w:r>
      <w:r w:rsidR="00134D33" w:rsidRPr="00360C90">
        <w:rPr>
          <w:rFonts w:cs="Calibri"/>
          <w:sz w:val="18"/>
          <w:szCs w:val="18"/>
        </w:rPr>
        <w:t>:</w:t>
      </w:r>
      <w:r w:rsidR="00D77A2D" w:rsidRPr="00360C90">
        <w:rPr>
          <w:rFonts w:cs="Calibri"/>
          <w:sz w:val="18"/>
          <w:szCs w:val="18"/>
        </w:rPr>
        <w:t xml:space="preserve"> </w:t>
      </w:r>
      <w:r w:rsidR="006F3301" w:rsidRPr="00360C90">
        <w:rPr>
          <w:rFonts w:cs="Calibri"/>
          <w:sz w:val="18"/>
          <w:szCs w:val="18"/>
        </w:rPr>
        <w:t>dva</w:t>
      </w:r>
      <w:r w:rsidR="00BB375A">
        <w:rPr>
          <w:rFonts w:cs="Calibri"/>
          <w:sz w:val="18"/>
          <w:szCs w:val="18"/>
        </w:rPr>
        <w:t xml:space="preserve"> </w:t>
      </w:r>
      <w:r w:rsidR="00535844" w:rsidRPr="00360C90">
        <w:rPr>
          <w:rFonts w:cs="Calibri"/>
          <w:sz w:val="18"/>
          <w:szCs w:val="18"/>
        </w:rPr>
        <w:t>milion</w:t>
      </w:r>
      <w:r w:rsidR="005938B1" w:rsidRPr="00360C90">
        <w:rPr>
          <w:rFonts w:cs="Calibri"/>
          <w:sz w:val="18"/>
          <w:szCs w:val="18"/>
        </w:rPr>
        <w:t>y</w:t>
      </w:r>
      <w:r w:rsidR="00535844" w:rsidRPr="00360C90">
        <w:rPr>
          <w:rFonts w:cs="Calibri"/>
          <w:sz w:val="18"/>
          <w:szCs w:val="18"/>
        </w:rPr>
        <w:t xml:space="preserve"> korun českých</w:t>
      </w:r>
      <w:r w:rsidR="00A151C6" w:rsidRPr="00360C90">
        <w:rPr>
          <w:rFonts w:cs="Calibri"/>
          <w:sz w:val="18"/>
          <w:szCs w:val="18"/>
        </w:rPr>
        <w:t>)</w:t>
      </w:r>
      <w:r w:rsidR="005A5010" w:rsidRPr="00360C90">
        <w:rPr>
          <w:rFonts w:cs="Calibri"/>
          <w:sz w:val="18"/>
          <w:szCs w:val="18"/>
        </w:rPr>
        <w:t>.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w:t>
      </w:r>
      <w:r w:rsidR="005A5010" w:rsidRPr="005A5010">
        <w:rPr>
          <w:rFonts w:cs="Calibri"/>
          <w:sz w:val="18"/>
          <w:szCs w:val="18"/>
        </w:rPr>
        <w:t xml:space="preserve"> plnění nebo jiné události mělo dojít k zániku pojištění, k omezení rozsahu pojištěných rizik, ke snížení stanovené min. výše pojistného plnění, nebo k jiným změnám, které by znamenaly zhoršení podmínek oproti původnímu stavu, je </w:t>
      </w:r>
      <w:r w:rsidR="005A5010">
        <w:rPr>
          <w:rFonts w:cs="Calibri"/>
          <w:sz w:val="18"/>
          <w:szCs w:val="18"/>
        </w:rPr>
        <w:t>P</w:t>
      </w:r>
      <w:r w:rsidR="005A5010" w:rsidRPr="005A5010">
        <w:rPr>
          <w:rFonts w:cs="Calibri"/>
          <w:sz w:val="18"/>
          <w:szCs w:val="18"/>
        </w:rPr>
        <w:t>rodávající povinen učinit příslušná opatření tak, aby pojištění bylo udrženo tak, jak je požadováno v tomto ustanovení.</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78D6FDD9"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BB375A">
        <w:rPr>
          <w:rFonts w:cs="Calibri"/>
          <w:sz w:val="18"/>
          <w:szCs w:val="18"/>
        </w:rPr>
        <w:t>1</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7777777"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w:t>
      </w:r>
      <w:r w:rsidRPr="004407DB">
        <w:rPr>
          <w:rFonts w:cs="Calibri"/>
          <w:sz w:val="18"/>
          <w:szCs w:val="18"/>
        </w:rPr>
        <w:lastRenderedPageBreak/>
        <w:t xml:space="preserve">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1138B04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Prodávající bere dále na vědomí, 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AFF224"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ode dne následujícího po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57F15E27"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BB375A" w:rsidRPr="009D6581">
        <w:rPr>
          <w:rFonts w:cs="Calibri"/>
          <w:sz w:val="18"/>
          <w:szCs w:val="18"/>
        </w:rPr>
        <w:t>1</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7A9932E0"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smlouvě o </w:t>
      </w:r>
      <w:r w:rsidR="00C870C4" w:rsidRPr="004407DB">
        <w:rPr>
          <w:rFonts w:cstheme="minorHAnsi"/>
          <w:iCs/>
          <w:sz w:val="18"/>
          <w:szCs w:val="18"/>
          <w:u w:val="single"/>
        </w:rPr>
        <w:t xml:space="preserve">                       </w:t>
      </w:r>
      <w:proofErr w:type="gramStart"/>
      <w:r w:rsidR="00C870C4" w:rsidRPr="004407DB">
        <w:rPr>
          <w:rFonts w:cstheme="minorHAnsi"/>
          <w:iCs/>
          <w:sz w:val="18"/>
          <w:szCs w:val="18"/>
          <w:u w:val="single"/>
        </w:rPr>
        <w:t xml:space="preserve">   </w:t>
      </w:r>
      <w:r w:rsidR="00C870C4" w:rsidRPr="004407DB">
        <w:rPr>
          <w:rFonts w:cstheme="minorHAnsi"/>
          <w:iCs/>
          <w:sz w:val="18"/>
          <w:szCs w:val="18"/>
          <w:highlight w:val="yellow"/>
          <w:u w:val="single"/>
        </w:rPr>
        <w:t>[</w:t>
      </w:r>
      <w:proofErr w:type="gramEnd"/>
      <w:r w:rsidR="00C870C4" w:rsidRPr="004407DB">
        <w:rPr>
          <w:rFonts w:cstheme="minorHAnsi"/>
          <w:i/>
          <w:sz w:val="18"/>
          <w:szCs w:val="18"/>
          <w:highlight w:val="yellow"/>
          <w:u w:val="single"/>
        </w:rPr>
        <w:t>doplní prodávající</w:t>
      </w:r>
      <w:r w:rsidR="00C870C4" w:rsidRPr="004407DB">
        <w:rPr>
          <w:rFonts w:cstheme="minorHAnsi"/>
          <w:iCs/>
          <w:sz w:val="18"/>
          <w:szCs w:val="18"/>
          <w:highlight w:val="yellow"/>
          <w:u w:val="single"/>
        </w:rPr>
        <w:t>]</w:t>
      </w:r>
      <w:r w:rsidR="00646395" w:rsidRPr="004407DB">
        <w:rPr>
          <w:rFonts w:cstheme="minorHAnsi"/>
          <w:iCs/>
          <w:sz w:val="18"/>
          <w:szCs w:val="18"/>
        </w:rPr>
        <w:t>, přičemž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24B5EA65"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F138B2">
        <w:rPr>
          <w:rFonts w:cs="Calibri"/>
          <w:sz w:val="18"/>
          <w:szCs w:val="18"/>
        </w:rPr>
        <w:t>Ing. Klára Mayerová (tel.: 607 152 811, e-mail: mayerova.klara@hospitaljh.cz).</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 xml:space="preserve">tvoří pracovní tým </w:t>
      </w:r>
      <w:r w:rsidRPr="004407DB">
        <w:rPr>
          <w:rFonts w:cs="Calibri"/>
          <w:i/>
          <w:sz w:val="18"/>
          <w:szCs w:val="18"/>
          <w:highlight w:val="yellow"/>
        </w:rPr>
        <w:t xml:space="preserve">_______________ </w:t>
      </w:r>
      <w:bookmarkStart w:id="2" w:name="_Hlk93399624"/>
      <w:r w:rsidRPr="004407DB">
        <w:rPr>
          <w:rFonts w:cs="Calibri"/>
          <w:i/>
          <w:sz w:val="18"/>
          <w:szCs w:val="18"/>
          <w:highlight w:val="yellow"/>
        </w:rPr>
        <w:t xml:space="preserve">[doplní </w:t>
      </w:r>
      <w:r w:rsidR="00697051" w:rsidRPr="004407DB">
        <w:rPr>
          <w:rFonts w:cs="Calibri"/>
          <w:i/>
          <w:sz w:val="18"/>
          <w:szCs w:val="18"/>
          <w:highlight w:val="yellow"/>
        </w:rPr>
        <w:t>prodávající</w:t>
      </w:r>
      <w:r w:rsidRPr="004407DB">
        <w:rPr>
          <w:rFonts w:cs="Calibri"/>
          <w:i/>
          <w:sz w:val="18"/>
          <w:szCs w:val="18"/>
          <w:highlight w:val="yellow"/>
        </w:rPr>
        <w:t>]</w:t>
      </w:r>
      <w:bookmarkEnd w:id="2"/>
      <w:r w:rsidRPr="004407DB">
        <w:rPr>
          <w:rFonts w:cs="Calibri"/>
          <w:i/>
          <w:sz w:val="18"/>
          <w:szCs w:val="18"/>
        </w:rPr>
        <w:t>,</w:t>
      </w:r>
      <w:r w:rsidRPr="004407DB">
        <w:rPr>
          <w:rFonts w:cs="Calibri"/>
          <w:sz w:val="18"/>
          <w:szCs w:val="18"/>
        </w:rPr>
        <w:t xml:space="preserve"> přičemž osobou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pan/paní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i/>
          <w:sz w:val="18"/>
          <w:szCs w:val="18"/>
        </w:rPr>
        <w:t>,</w:t>
      </w:r>
      <w:r w:rsidRPr="004407DB">
        <w:rPr>
          <w:rFonts w:cs="Calibri"/>
          <w:sz w:val="18"/>
          <w:szCs w:val="18"/>
        </w:rPr>
        <w:t xml:space="preserve"> </w:t>
      </w:r>
      <w:proofErr w:type="spellStart"/>
      <w:r w:rsidRPr="004407DB">
        <w:rPr>
          <w:rFonts w:cs="Calibri"/>
          <w:sz w:val="18"/>
          <w:szCs w:val="18"/>
        </w:rPr>
        <w:t>tel.č</w:t>
      </w:r>
      <w:proofErr w:type="spellEnd"/>
      <w:r w:rsidRPr="004407DB">
        <w:rPr>
          <w:rFonts w:cs="Calibri"/>
          <w:sz w:val="18"/>
          <w:szCs w:val="18"/>
        </w:rPr>
        <w:t xml:space="preserve">.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w:t>
      </w:r>
      <w:r w:rsidRPr="004407DB">
        <w:rPr>
          <w:rFonts w:cs="Calibri"/>
          <w:sz w:val="18"/>
          <w:szCs w:val="18"/>
        </w:rPr>
        <w:lastRenderedPageBreak/>
        <w:t xml:space="preserve">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17CFF640"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Pr="004407DB">
              <w:rPr>
                <w:rFonts w:ascii="Verdana" w:hAnsi="Verdana" w:cs="Calibri"/>
                <w:color w:val="000000"/>
                <w:sz w:val="18"/>
                <w:szCs w:val="18"/>
              </w:rPr>
              <w:t xml:space="preserve">____________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77777777" w:rsidR="003944E1" w:rsidRPr="004407DB" w:rsidRDefault="003944E1" w:rsidP="003944E1">
            <w:pPr>
              <w:pStyle w:val="Identifikacestran"/>
              <w:spacing w:line="240" w:lineRule="auto"/>
              <w:rPr>
                <w:rFonts w:ascii="Verdana" w:hAnsi="Verdana" w:cs="Calibri"/>
                <w:i/>
                <w:sz w:val="18"/>
                <w:szCs w:val="18"/>
                <w:highlight w:val="yellow"/>
              </w:rPr>
            </w:pPr>
            <w:r w:rsidRPr="004407DB">
              <w:rPr>
                <w:rFonts w:ascii="Verdana" w:hAnsi="Verdana" w:cs="Calibri"/>
                <w:i/>
                <w:sz w:val="18"/>
                <w:szCs w:val="18"/>
              </w:rPr>
              <w:t>[</w:t>
            </w:r>
            <w:r w:rsidRPr="004407DB">
              <w:rPr>
                <w:rFonts w:ascii="Verdana" w:hAnsi="Verdana" w:cs="Calibri"/>
                <w:i/>
                <w:sz w:val="18"/>
                <w:szCs w:val="18"/>
                <w:highlight w:val="yellow"/>
              </w:rPr>
              <w:t>jméno, příjmení]</w:t>
            </w:r>
          </w:p>
          <w:p w14:paraId="36C11F83" w14:textId="77777777" w:rsidR="003944E1" w:rsidRPr="004407DB" w:rsidRDefault="003944E1" w:rsidP="003944E1">
            <w:pPr>
              <w:jc w:val="center"/>
              <w:rPr>
                <w:rFonts w:ascii="Verdana" w:hAnsi="Verdana" w:cs="Calibri"/>
                <w:iCs/>
                <w:sz w:val="18"/>
                <w:szCs w:val="18"/>
                <w:highlight w:val="yellow"/>
              </w:rPr>
            </w:pPr>
            <w:r w:rsidRPr="004407DB">
              <w:rPr>
                <w:rFonts w:ascii="Verdana" w:hAnsi="Verdana" w:cs="Calibri"/>
                <w:i/>
                <w:sz w:val="18"/>
                <w:szCs w:val="18"/>
                <w:highlight w:val="yellow"/>
              </w:rPr>
              <w:t>[funkce]</w:t>
            </w:r>
          </w:p>
          <w:p w14:paraId="29E2BAC2" w14:textId="77777777" w:rsidR="003944E1" w:rsidRPr="004407DB" w:rsidRDefault="003944E1" w:rsidP="003944E1">
            <w:pPr>
              <w:jc w:val="center"/>
              <w:rPr>
                <w:rFonts w:ascii="Verdana" w:hAnsi="Verdana" w:cs="Calibri"/>
                <w:iCs/>
                <w:sz w:val="18"/>
                <w:szCs w:val="18"/>
              </w:rPr>
            </w:pPr>
            <w:r w:rsidRPr="004407DB">
              <w:rPr>
                <w:rFonts w:ascii="Verdana" w:hAnsi="Verdana" w:cs="Calibri"/>
                <w:i/>
                <w:sz w:val="18"/>
                <w:szCs w:val="18"/>
                <w:highlight w:val="yellow"/>
              </w:rPr>
              <w:t>[obchodní firma</w:t>
            </w:r>
            <w:r w:rsidRPr="004407DB">
              <w:rPr>
                <w:rFonts w:ascii="Verdana" w:hAnsi="Verdana" w:cs="Calibri"/>
                <w:i/>
                <w:sz w:val="18"/>
                <w:szCs w:val="18"/>
              </w:rPr>
              <w:t>]</w:t>
            </w:r>
          </w:p>
        </w:tc>
      </w:tr>
      <w:tr w:rsidR="003944E1" w:rsidRPr="004407DB" w14:paraId="650E7D17" w14:textId="77777777" w:rsidTr="00E415CC">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4BC77659" w:rsidR="00E24202" w:rsidRPr="004407DB" w:rsidRDefault="00E24202" w:rsidP="004233D8">
      <w:pPr>
        <w:pStyle w:val="Smlouva4"/>
        <w:keepNext w:val="0"/>
        <w:numPr>
          <w:ilvl w:val="0"/>
          <w:numId w:val="0"/>
        </w:numPr>
        <w:tabs>
          <w:tab w:val="num" w:pos="709"/>
        </w:tabs>
        <w:rPr>
          <w:rFonts w:cs="Calibri"/>
          <w:sz w:val="18"/>
          <w:szCs w:val="18"/>
        </w:rPr>
      </w:pPr>
    </w:p>
    <w:p w14:paraId="3E141344" w14:textId="562D303F" w:rsidR="00E24202" w:rsidRPr="004407DB" w:rsidRDefault="00E24202"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1B1AD25A" w14:textId="62954901" w:rsidR="00B75A74" w:rsidRDefault="00B75A74" w:rsidP="004233D8">
      <w:pPr>
        <w:pStyle w:val="Smlouva4"/>
        <w:keepNext w:val="0"/>
        <w:numPr>
          <w:ilvl w:val="0"/>
          <w:numId w:val="0"/>
        </w:numPr>
        <w:tabs>
          <w:tab w:val="num" w:pos="709"/>
        </w:tabs>
        <w:rPr>
          <w:rFonts w:cs="Calibri"/>
          <w:sz w:val="18"/>
          <w:szCs w:val="18"/>
        </w:rPr>
      </w:pPr>
    </w:p>
    <w:p w14:paraId="141E9038" w14:textId="377FE165" w:rsidR="00B75A74" w:rsidRDefault="00B75A74" w:rsidP="004233D8">
      <w:pPr>
        <w:pStyle w:val="Smlouva4"/>
        <w:keepNext w:val="0"/>
        <w:numPr>
          <w:ilvl w:val="0"/>
          <w:numId w:val="0"/>
        </w:numPr>
        <w:tabs>
          <w:tab w:val="num" w:pos="709"/>
        </w:tabs>
        <w:rPr>
          <w:rFonts w:cs="Calibri"/>
          <w:sz w:val="18"/>
          <w:szCs w:val="18"/>
        </w:rPr>
      </w:pPr>
    </w:p>
    <w:p w14:paraId="3FF6A107" w14:textId="4965D53B" w:rsidR="00B75A74" w:rsidRDefault="00B75A74"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p w14:paraId="2EE78642" w14:textId="77777777" w:rsidR="00B803AF" w:rsidRPr="0077429A" w:rsidRDefault="00B803AF" w:rsidP="006673FD">
      <w:pPr>
        <w:rPr>
          <w:rFonts w:ascii="Calibri" w:hAnsi="Calibri" w:cs="Calibri"/>
          <w:sz w:val="22"/>
          <w:szCs w:val="22"/>
        </w:rPr>
      </w:pPr>
    </w:p>
    <w:p w14:paraId="03166F91" w14:textId="140047C9" w:rsidR="00B803AF" w:rsidRPr="00E46C22" w:rsidRDefault="00D57301" w:rsidP="00B803AF">
      <w:pPr>
        <w:pStyle w:val="Zkladntext2"/>
        <w:spacing w:after="0" w:line="240" w:lineRule="auto"/>
        <w:jc w:val="center"/>
        <w:rPr>
          <w:rFonts w:ascii="Calibri" w:hAnsi="Calibri" w:cs="Calibri"/>
          <w:b/>
          <w:bCs/>
          <w:i/>
          <w:sz w:val="22"/>
          <w:szCs w:val="22"/>
        </w:rPr>
      </w:pPr>
      <w:r w:rsidRPr="00466221">
        <w:rPr>
          <w:rFonts w:ascii="Verdana" w:hAnsi="Verdana" w:cs="Calibri"/>
          <w:b/>
          <w:bCs/>
          <w:i/>
          <w:sz w:val="18"/>
          <w:szCs w:val="18"/>
        </w:rPr>
        <w:t xml:space="preserve">(zde bude před podpisem smlouvy vložena vyplněná příloha odpovídající dodavatelem vyplněné Příloze č. 1 Zadávací dokumentace a případné další dokumenty v souladu se zadávací dokumentací týkají se předmětu plnění, zejména nabídková cena v souladu s vyplněnou Přílohou č. </w:t>
      </w:r>
      <w:r>
        <w:rPr>
          <w:rFonts w:ascii="Verdana" w:hAnsi="Verdana" w:cs="Calibri"/>
          <w:b/>
          <w:bCs/>
          <w:i/>
          <w:sz w:val="18"/>
          <w:szCs w:val="18"/>
        </w:rPr>
        <w:t>6</w:t>
      </w:r>
      <w:r w:rsidRPr="00466221">
        <w:rPr>
          <w:rFonts w:ascii="Verdana" w:hAnsi="Verdana" w:cs="Calibri"/>
          <w:b/>
          <w:bCs/>
          <w:i/>
          <w:sz w:val="18"/>
          <w:szCs w:val="18"/>
        </w:rPr>
        <w:t xml:space="preserve"> Zadávací dokumentace)</w:t>
      </w: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3FB84D5A" w14:textId="77777777" w:rsidTr="00A50C97">
        <w:trPr>
          <w:jc w:val="center"/>
        </w:trPr>
        <w:tc>
          <w:tcPr>
            <w:tcW w:w="5076" w:type="dxa"/>
          </w:tcPr>
          <w:p w14:paraId="2407B128" w14:textId="77777777" w:rsidR="00740A13" w:rsidRPr="004407DB" w:rsidRDefault="00740A13" w:rsidP="006D33BB">
            <w:pPr>
              <w:jc w:val="center"/>
              <w:rPr>
                <w:rFonts w:ascii="Verdana" w:hAnsi="Verdana" w:cs="Calibri"/>
                <w:sz w:val="18"/>
                <w:szCs w:val="18"/>
              </w:rPr>
            </w:pPr>
          </w:p>
        </w:tc>
        <w:tc>
          <w:tcPr>
            <w:tcW w:w="5077" w:type="dxa"/>
          </w:tcPr>
          <w:p w14:paraId="0AB587B8" w14:textId="77777777" w:rsidR="00740A13" w:rsidRPr="004407DB" w:rsidRDefault="00740A13" w:rsidP="006D33BB">
            <w:pPr>
              <w:jc w:val="center"/>
              <w:rPr>
                <w:rFonts w:ascii="Verdana" w:hAnsi="Verdana" w:cs="Calibri"/>
                <w:sz w:val="18"/>
                <w:szCs w:val="18"/>
              </w:rPr>
            </w:pPr>
          </w:p>
        </w:tc>
        <w:tc>
          <w:tcPr>
            <w:tcW w:w="5077" w:type="dxa"/>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A50C97">
        <w:trPr>
          <w:jc w:val="center"/>
        </w:trPr>
        <w:tc>
          <w:tcPr>
            <w:tcW w:w="5076" w:type="dxa"/>
          </w:tcPr>
          <w:p w14:paraId="1C7C5C80" w14:textId="77777777" w:rsidR="00740A13" w:rsidRPr="004407DB" w:rsidRDefault="00740A13" w:rsidP="006D33BB">
            <w:pPr>
              <w:jc w:val="cente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19A3E9D8"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 (turbíny, baterie)</w:t>
      </w:r>
      <w:r w:rsidR="00CE4BDE">
        <w:rPr>
          <w:rFonts w:ascii="Verdana" w:hAnsi="Verdana"/>
          <w:sz w:val="18"/>
        </w:rPr>
        <w:t xml:space="preserve">, </w:t>
      </w:r>
      <w:r w:rsidR="00184068">
        <w:rPr>
          <w:rFonts w:ascii="Verdana" w:hAnsi="Verdana"/>
          <w:sz w:val="18"/>
        </w:rPr>
        <w:t xml:space="preserve">SW update, </w:t>
      </w:r>
      <w:proofErr w:type="spellStart"/>
      <w:r w:rsidR="00CE4BDE">
        <w:rPr>
          <w:rFonts w:ascii="Verdana" w:hAnsi="Verdana"/>
          <w:sz w:val="18"/>
        </w:rPr>
        <w:t>elektrorevizí</w:t>
      </w:r>
      <w:proofErr w:type="spellEnd"/>
      <w:r w:rsidR="00CE4BDE">
        <w:rPr>
          <w:rFonts w:ascii="Verdana" w:hAnsi="Verdana"/>
          <w:sz w:val="18"/>
        </w:rPr>
        <w:t xml:space="preserve">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77777777"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proofErr w:type="gramStart"/>
      <w:r w:rsidRPr="00715323">
        <w:rPr>
          <w:rFonts w:ascii="Verdana" w:hAnsi="Verdana"/>
          <w:sz w:val="18"/>
          <w:highlight w:val="yellow"/>
        </w:rPr>
        <w:t>…….</w:t>
      </w:r>
      <w:proofErr w:type="gramEnd"/>
      <w:r w:rsidRPr="00715323">
        <w:rPr>
          <w:rFonts w:ascii="Verdana" w:hAnsi="Verdana"/>
          <w:sz w:val="18"/>
          <w:highlight w:val="yellow"/>
        </w:rPr>
        <w:t>.</w:t>
      </w:r>
      <w:r w:rsidRPr="00715323">
        <w:rPr>
          <w:rFonts w:ascii="Verdana" w:hAnsi="Verdana"/>
          <w:sz w:val="18"/>
        </w:rPr>
        <w:t xml:space="preserve"> či emailem na  </w:t>
      </w:r>
      <w:hyperlink r:id="rId8" w:history="1">
        <w:r w:rsidRPr="00715323">
          <w:rPr>
            <w:rFonts w:ascii="Verdana" w:hAnsi="Verdana"/>
            <w:sz w:val="18"/>
          </w:rPr>
          <w:t>adresu</w:t>
        </w:r>
        <w:r w:rsidRPr="00715323">
          <w:rPr>
            <w:rFonts w:ascii="Verdana" w:hAnsi="Verdana"/>
            <w:sz w:val="18"/>
            <w:highlight w:val="yellow"/>
          </w:rPr>
          <w:t>…………………</w:t>
        </w:r>
        <w:proofErr w:type="gramStart"/>
        <w:r w:rsidRPr="00715323">
          <w:rPr>
            <w:rFonts w:ascii="Verdana" w:hAnsi="Verdana"/>
            <w:sz w:val="18"/>
            <w:highlight w:val="yellow"/>
          </w:rPr>
          <w:t>…….</w:t>
        </w:r>
        <w:proofErr w:type="gramEnd"/>
        <w:r w:rsidRPr="00715323">
          <w:rPr>
            <w:rFonts w:ascii="Verdana" w:hAnsi="Verdana"/>
            <w:sz w:val="18"/>
            <w:highlight w:val="yellow"/>
          </w:rPr>
          <w:t>.</w:t>
        </w:r>
      </w:hyperlink>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2FF5A10B" w14:textId="77777777" w:rsidR="008350F4" w:rsidRPr="00DD3A29" w:rsidRDefault="008350F4" w:rsidP="008350F4">
      <w:pPr>
        <w:ind w:left="426" w:hanging="426"/>
        <w:rPr>
          <w:rFonts w:ascii="Verdana" w:hAnsi="Verdana" w:cs="Calibri"/>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404EB645"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provádění pravidelných bezpečnostně technických kontrol a revizí dle zákona č. 89/2021 Sb., o zdravotnických prostředcích a zákona č. 268/2014 Sb., o diagnostických zdravotnických prostředcích in vitro, to vše ve znění pozdějších předpisů (společně dále jen „ZZP“),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 (turbíny, baterie),</w:t>
      </w:r>
    </w:p>
    <w:p w14:paraId="4331B828" w14:textId="77777777"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pověření a proškolení obsluhujícího personálu Kupujícího k provádění instruktáže/školení nově příchozích zaměstnanců Kupujícího, pokud to výrobce Zařízení umožní, nebo poskytování bezplatné instruktáže obsluhujícího personálu dle ZZP při nástupu nových zaměstnanců Kupujícího oprávněnou osobou (max.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w:t>
      </w:r>
      <w:r w:rsidRPr="003F4F8D">
        <w:rPr>
          <w:rFonts w:ascii="Verdana" w:hAnsi="Verdana" w:cs="Calibri"/>
          <w:sz w:val="18"/>
          <w:szCs w:val="18"/>
        </w:rPr>
        <w:lastRenderedPageBreak/>
        <w:t>Kupující bude nahlašovat Prodávajícímu potřebu k provedení Opravy způsobem stanoveným v </w:t>
      </w:r>
      <w:bookmarkStart w:id="3"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3"/>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77777777"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proofErr w:type="gramStart"/>
      <w:r w:rsidRPr="00715323">
        <w:rPr>
          <w:rFonts w:ascii="Verdana" w:hAnsi="Verdana"/>
          <w:sz w:val="18"/>
          <w:highlight w:val="yellow"/>
        </w:rPr>
        <w:t>…….</w:t>
      </w:r>
      <w:proofErr w:type="gramEnd"/>
      <w:r w:rsidRPr="00715323">
        <w:rPr>
          <w:rFonts w:ascii="Verdana" w:hAnsi="Verdana"/>
          <w:sz w:val="18"/>
          <w:highlight w:val="yellow"/>
        </w:rPr>
        <w:t>.</w:t>
      </w:r>
      <w:r w:rsidRPr="00715323">
        <w:rPr>
          <w:rFonts w:ascii="Verdana" w:hAnsi="Verdana"/>
          <w:sz w:val="18"/>
        </w:rPr>
        <w:t xml:space="preserve"> či emailem na  </w:t>
      </w:r>
      <w:hyperlink r:id="rId9" w:history="1">
        <w:r w:rsidRPr="00715323">
          <w:rPr>
            <w:rFonts w:ascii="Verdana" w:hAnsi="Verdana"/>
            <w:sz w:val="18"/>
          </w:rPr>
          <w:t>adresu</w:t>
        </w:r>
        <w:r w:rsidRPr="00715323">
          <w:rPr>
            <w:rFonts w:ascii="Verdana" w:hAnsi="Verdana"/>
            <w:sz w:val="18"/>
            <w:highlight w:val="yellow"/>
          </w:rPr>
          <w:t>…………………</w:t>
        </w:r>
        <w:proofErr w:type="gramStart"/>
        <w:r w:rsidRPr="00715323">
          <w:rPr>
            <w:rFonts w:ascii="Verdana" w:hAnsi="Verdana"/>
            <w:sz w:val="18"/>
            <w:highlight w:val="yellow"/>
          </w:rPr>
          <w:t>…….</w:t>
        </w:r>
        <w:proofErr w:type="gramEnd"/>
        <w:r w:rsidRPr="00715323">
          <w:rPr>
            <w:rFonts w:ascii="Verdana" w:hAnsi="Verdana"/>
            <w:sz w:val="18"/>
            <w:highlight w:val="yellow"/>
          </w:rPr>
          <w:t>.</w:t>
        </w:r>
      </w:hyperlink>
      <w:r w:rsidRPr="00715323">
        <w:rPr>
          <w:rFonts w:ascii="Verdana" w:hAnsi="Verdana"/>
          <w:sz w:val="18"/>
        </w:rPr>
        <w:t xml:space="preserve">. </w:t>
      </w:r>
    </w:p>
    <w:p w14:paraId="6E5C6F6C" w14:textId="77777777" w:rsidR="008350F4" w:rsidRPr="00DD3A29" w:rsidRDefault="008350F4" w:rsidP="008350F4">
      <w:pPr>
        <w:spacing w:after="120"/>
        <w:ind w:left="425"/>
        <w:jc w:val="both"/>
        <w:rPr>
          <w:rFonts w:ascii="Verdana" w:hAnsi="Verdana" w:cs="Calibri"/>
          <w:sz w:val="18"/>
          <w:szCs w:val="18"/>
        </w:rPr>
      </w:pPr>
    </w:p>
    <w:p w14:paraId="6B2B7F5D" w14:textId="77777777" w:rsidR="008350F4" w:rsidRPr="00CE5D2B" w:rsidRDefault="008350F4" w:rsidP="008350F4">
      <w:pPr>
        <w:spacing w:after="120"/>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77777777"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je povinen nastoupit na odstranění závady v místě plnění a závadu odstranit a uvést Zařízení zpět do běžného provozu v termínech uvedených v odst. 4.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 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329806F7"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6334B3EA" w:rsidR="008350F4" w:rsidRPr="007123F8"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 xml:space="preserve">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 předcházející rok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w:t>
      </w:r>
      <w:r w:rsidRPr="007123F8">
        <w:rPr>
          <w:rFonts w:ascii="Verdana" w:hAnsi="Verdana" w:cs="Calibri"/>
          <w:sz w:val="18"/>
          <w:szCs w:val="18"/>
        </w:rPr>
        <w:lastRenderedPageBreak/>
        <w:t>navýšení ceny účinné prvním dnem měsíce následujícího po měsíci, ve kterém byl dodatek ke smlouvě uveřejněn v Registru smluv.</w:t>
      </w:r>
    </w:p>
    <w:sectPr w:rsidR="008350F4" w:rsidRPr="007123F8" w:rsidSect="000174BB">
      <w:headerReference w:type="default" r:id="rId10"/>
      <w:footerReference w:type="even" r:id="rId11"/>
      <w:footerReference w:type="default" r:id="rId12"/>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4FD6" w14:textId="77777777" w:rsidR="00CE083C" w:rsidRDefault="00CE083C">
      <w:r>
        <w:separator/>
      </w:r>
    </w:p>
  </w:endnote>
  <w:endnote w:type="continuationSeparator" w:id="0">
    <w:p w14:paraId="2F2D39D8" w14:textId="77777777" w:rsidR="00CE083C" w:rsidRDefault="00CE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ABC5" w14:textId="77777777" w:rsidR="00CE083C" w:rsidRDefault="00CE083C">
      <w:r>
        <w:separator/>
      </w:r>
    </w:p>
  </w:footnote>
  <w:footnote w:type="continuationSeparator" w:id="0">
    <w:p w14:paraId="1AA9C184" w14:textId="77777777" w:rsidR="00CE083C" w:rsidRDefault="00CE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7"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19"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252712650">
    <w:abstractNumId w:val="6"/>
  </w:num>
  <w:num w:numId="2" w16cid:durableId="1636258941">
    <w:abstractNumId w:val="20"/>
  </w:num>
  <w:num w:numId="3" w16cid:durableId="115150467">
    <w:abstractNumId w:val="17"/>
  </w:num>
  <w:num w:numId="4" w16cid:durableId="2098210050">
    <w:abstractNumId w:val="14"/>
  </w:num>
  <w:num w:numId="5" w16cid:durableId="541291510">
    <w:abstractNumId w:val="11"/>
  </w:num>
  <w:num w:numId="6" w16cid:durableId="643049914">
    <w:abstractNumId w:val="21"/>
  </w:num>
  <w:num w:numId="7" w16cid:durableId="1481506891">
    <w:abstractNumId w:val="16"/>
  </w:num>
  <w:num w:numId="8" w16cid:durableId="880508698">
    <w:abstractNumId w:val="16"/>
  </w:num>
  <w:num w:numId="9" w16cid:durableId="521673156">
    <w:abstractNumId w:val="6"/>
  </w:num>
  <w:num w:numId="10" w16cid:durableId="143082157">
    <w:abstractNumId w:val="13"/>
  </w:num>
  <w:num w:numId="11" w16cid:durableId="183174404">
    <w:abstractNumId w:val="12"/>
  </w:num>
  <w:num w:numId="12" w16cid:durableId="1099328116">
    <w:abstractNumId w:val="7"/>
  </w:num>
  <w:num w:numId="13" w16cid:durableId="2025089101">
    <w:abstractNumId w:val="2"/>
  </w:num>
  <w:num w:numId="14" w16cid:durableId="370614431">
    <w:abstractNumId w:val="19"/>
  </w:num>
  <w:num w:numId="15" w16cid:durableId="1647279675">
    <w:abstractNumId w:val="6"/>
  </w:num>
  <w:num w:numId="16" w16cid:durableId="401567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7499">
    <w:abstractNumId w:val="3"/>
  </w:num>
  <w:num w:numId="18" w16cid:durableId="2108842389">
    <w:abstractNumId w:val="9"/>
  </w:num>
  <w:num w:numId="19" w16cid:durableId="622880409">
    <w:abstractNumId w:val="0"/>
  </w:num>
  <w:num w:numId="20" w16cid:durableId="1430278727">
    <w:abstractNumId w:val="6"/>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209952936">
    <w:abstractNumId w:val="6"/>
  </w:num>
  <w:num w:numId="22" w16cid:durableId="341863070">
    <w:abstractNumId w:val="6"/>
  </w:num>
  <w:num w:numId="23" w16cid:durableId="528878417">
    <w:abstractNumId w:val="6"/>
  </w:num>
  <w:num w:numId="24" w16cid:durableId="1202278392">
    <w:abstractNumId w:val="10"/>
  </w:num>
  <w:num w:numId="25" w16cid:durableId="1529445128">
    <w:abstractNumId w:val="15"/>
  </w:num>
  <w:num w:numId="26" w16cid:durableId="1268460329">
    <w:abstractNumId w:val="6"/>
  </w:num>
  <w:num w:numId="27" w16cid:durableId="486678403">
    <w:abstractNumId w:val="1"/>
  </w:num>
  <w:num w:numId="28" w16cid:durableId="1168256510">
    <w:abstractNumId w:val="4"/>
  </w:num>
  <w:num w:numId="29" w16cid:durableId="823203534">
    <w:abstractNumId w:val="5"/>
  </w:num>
  <w:num w:numId="30" w16cid:durableId="284167281">
    <w:abstractNumId w:val="8"/>
  </w:num>
  <w:num w:numId="31" w16cid:durableId="1831435901">
    <w:abstractNumId w:val="18"/>
  </w:num>
  <w:num w:numId="32" w16cid:durableId="348116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6A87"/>
    <w:rsid w:val="00007588"/>
    <w:rsid w:val="00007A4A"/>
    <w:rsid w:val="00007B21"/>
    <w:rsid w:val="00007E95"/>
    <w:rsid w:val="00011A3E"/>
    <w:rsid w:val="00011FAF"/>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2DFA"/>
    <w:rsid w:val="004A3CA9"/>
    <w:rsid w:val="004A3D0C"/>
    <w:rsid w:val="004A5300"/>
    <w:rsid w:val="004A61EB"/>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CB2"/>
    <w:rsid w:val="0075528C"/>
    <w:rsid w:val="00756028"/>
    <w:rsid w:val="00756651"/>
    <w:rsid w:val="007579EF"/>
    <w:rsid w:val="00757D7E"/>
    <w:rsid w:val="0076066A"/>
    <w:rsid w:val="0076083C"/>
    <w:rsid w:val="00761C8D"/>
    <w:rsid w:val="00763860"/>
    <w:rsid w:val="00766993"/>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AC3"/>
    <w:rsid w:val="00BB16B4"/>
    <w:rsid w:val="00BB375A"/>
    <w:rsid w:val="00BB375E"/>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7428</Words>
  <Characters>43457</Characters>
  <Application>Microsoft Office Word</Application>
  <DocSecurity>0</DocSecurity>
  <Lines>362</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50784</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61</cp:revision>
  <cp:lastPrinted>2022-02-07T06:59:00Z</cp:lastPrinted>
  <dcterms:created xsi:type="dcterms:W3CDTF">2022-08-07T13:24:00Z</dcterms:created>
  <dcterms:modified xsi:type="dcterms:W3CDTF">2022-11-03T08:08:00Z</dcterms:modified>
</cp:coreProperties>
</file>