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w:t>
      </w:r>
      <w:proofErr w:type="spellStart"/>
      <w:r w:rsidRPr="002E3C56">
        <w:rPr>
          <w:rFonts w:asciiTheme="minorHAnsi" w:hAnsiTheme="minorHAnsi"/>
          <w:sz w:val="22"/>
          <w:szCs w:val="22"/>
        </w:rPr>
        <w:t>Čagánková</w:t>
      </w:r>
      <w:proofErr w:type="spellEnd"/>
      <w:r w:rsidRPr="002E3C56">
        <w:rPr>
          <w:rFonts w:asciiTheme="minorHAnsi" w:hAnsiTheme="minorHAnsi"/>
          <w:sz w:val="22"/>
          <w:szCs w:val="22"/>
        </w:rPr>
        <w:t xml:space="preserve">,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5750836E" w14:textId="77777777" w:rsidR="00714949"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34FC8A40"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7EFF2679" w:rsidR="006A36A9" w:rsidRPr="00E46846" w:rsidRDefault="006A36A9" w:rsidP="006A36A9">
      <w:pPr>
        <w:widowControl w:val="0"/>
        <w:suppressAutoHyphens/>
        <w:autoSpaceDE w:val="0"/>
        <w:autoSpaceDN w:val="0"/>
        <w:adjustRightInd w:val="0"/>
        <w:rPr>
          <w:rFonts w:ascii="Calibri" w:eastAsia="SimSun" w:hAnsi="Calibri"/>
          <w:iCs/>
          <w:kern w:val="1"/>
          <w:sz w:val="20"/>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proofErr w:type="gramStart"/>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w:t>
      </w:r>
      <w:proofErr w:type="gramEnd"/>
      <w:r w:rsidR="00EB723F" w:rsidRPr="002E3C56">
        <w:rPr>
          <w:rFonts w:asciiTheme="minorHAnsi" w:hAnsiTheme="minorHAnsi"/>
          <w:b/>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5755982E"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CC5747" w:rsidRPr="00F966B8">
        <w:t> otevřeném nadlimitním řízení</w:t>
      </w:r>
      <w:r w:rsidRPr="00F966B8">
        <w:t xml:space="preserve"> </w:t>
      </w:r>
      <w:r w:rsidR="00E46846">
        <w:t xml:space="preserve">na veřejnou zakázku </w:t>
      </w:r>
      <w:r w:rsidRPr="00F966B8">
        <w:t xml:space="preserve">s názvem </w:t>
      </w:r>
      <w:r w:rsidR="00101A54" w:rsidRPr="00F966B8">
        <w:t>„</w:t>
      </w:r>
      <w:proofErr w:type="spellStart"/>
      <w:r w:rsidR="00C512E7">
        <w:rPr>
          <w:rFonts w:ascii="Calibri" w:hAnsi="Calibri"/>
          <w:b/>
        </w:rPr>
        <w:t>Neuromonitor</w:t>
      </w:r>
      <w:proofErr w:type="spellEnd"/>
      <w:r w:rsidR="00E46846">
        <w:rPr>
          <w:rFonts w:ascii="Calibri" w:hAnsi="Calibri"/>
          <w:b/>
        </w:rPr>
        <w:t xml:space="preserve"> pro c</w:t>
      </w:r>
      <w:r w:rsidR="00C512E7">
        <w:rPr>
          <w:rFonts w:ascii="Calibri" w:hAnsi="Calibri"/>
          <w:b/>
        </w:rPr>
        <w:t>hirurgické oddělení Nemocnice Písek</w:t>
      </w:r>
      <w:r w:rsidR="00101A54" w:rsidRPr="00F966B8">
        <w:t xml:space="preserve">“ </w:t>
      </w:r>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4D6D4A1" w14:textId="7E6B4A2E" w:rsidR="000B330F" w:rsidRPr="00C7589F" w:rsidRDefault="000B330F" w:rsidP="000B330F">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C7589F">
        <w:rPr>
          <w:rFonts w:ascii="Calibri" w:eastAsia="SimSun" w:hAnsi="Calibri" w:cs="Calibri"/>
          <w:kern w:val="1"/>
          <w:sz w:val="22"/>
          <w:szCs w:val="22"/>
          <w:lang w:eastAsia="hi-IN" w:bidi="hi-IN"/>
        </w:rPr>
        <w:t>Předmět</w:t>
      </w:r>
      <w:r>
        <w:rPr>
          <w:rFonts w:ascii="Calibri" w:eastAsia="SimSun" w:hAnsi="Calibri" w:cs="Calibri"/>
          <w:kern w:val="1"/>
          <w:sz w:val="22"/>
          <w:szCs w:val="22"/>
          <w:lang w:eastAsia="hi-IN" w:bidi="hi-IN"/>
        </w:rPr>
        <w:t xml:space="preserve">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CZ.06.6.127/0.0/0.0/21_121/0016389 spolufinancovaného Evropskou unií </w:t>
      </w:r>
      <w:r w:rsidR="00714949">
        <w:rPr>
          <w:rFonts w:ascii="Calibri" w:eastAsia="SimSun" w:hAnsi="Calibri" w:cs="Calibri"/>
          <w:kern w:val="1"/>
          <w:sz w:val="22"/>
          <w:szCs w:val="22"/>
          <w:lang w:eastAsia="hi-IN" w:bidi="hi-IN"/>
        </w:rPr>
        <w:t>v rámci reakce unie na pandemii COVID-19</w:t>
      </w:r>
      <w:r>
        <w:rPr>
          <w:rFonts w:ascii="Calibri" w:eastAsia="SimSun" w:hAnsi="Calibri" w:cs="Calibri"/>
          <w:kern w:val="1"/>
          <w:sz w:val="22"/>
          <w:szCs w:val="22"/>
          <w:lang w:eastAsia="hi-IN" w:bidi="hi-IN"/>
        </w:rPr>
        <w:t xml:space="preserve">. </w:t>
      </w:r>
    </w:p>
    <w:p w14:paraId="05E93D83" w14:textId="41B11FEA"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 xml:space="preserve">Prodávající se zavazuje dodat </w:t>
      </w:r>
      <w:r w:rsidR="00254911">
        <w:rPr>
          <w:rFonts w:ascii="Calibri" w:hAnsi="Calibri" w:cs="Calibri"/>
          <w:sz w:val="22"/>
          <w:szCs w:val="22"/>
        </w:rPr>
        <w:t xml:space="preserve">kupujícímu </w:t>
      </w:r>
      <w:r w:rsidR="00E46846" w:rsidRPr="00E46846">
        <w:rPr>
          <w:rFonts w:ascii="Calibri" w:hAnsi="Calibri" w:cs="Calibri"/>
          <w:sz w:val="22"/>
          <w:szCs w:val="22"/>
        </w:rPr>
        <w:t xml:space="preserve">1 kus </w:t>
      </w:r>
      <w:proofErr w:type="spellStart"/>
      <w:r w:rsidR="00E46846" w:rsidRPr="00E46846">
        <w:rPr>
          <w:rFonts w:ascii="Calibri" w:hAnsi="Calibri" w:cs="Calibri"/>
          <w:sz w:val="22"/>
          <w:szCs w:val="22"/>
        </w:rPr>
        <w:t>neuromonitoru</w:t>
      </w:r>
      <w:proofErr w:type="spellEnd"/>
      <w:r w:rsidR="000714AC">
        <w:rPr>
          <w:rFonts w:asciiTheme="minorHAnsi" w:hAnsiTheme="minorHAnsi"/>
          <w:sz w:val="22"/>
        </w:rPr>
        <w:t>.</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615E23">
        <w:rPr>
          <w:rFonts w:ascii="Calibri" w:eastAsia="SimSun" w:hAnsi="Calibri" w:cs="Calibri"/>
          <w:kern w:val="1"/>
          <w:sz w:val="22"/>
          <w:szCs w:val="22"/>
          <w:lang w:eastAsia="hi-IN" w:bidi="hi-IN"/>
        </w:rPr>
        <w:lastRenderedPageBreak/>
        <w:t>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4187F775"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E46846">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60870B80"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0BC69C4D"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FF3488"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629F22AF"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0B330F">
        <w:rPr>
          <w:rFonts w:ascii="Calibri" w:eastAsia="SimSun" w:hAnsi="Calibri" w:cs="Calibri"/>
          <w:kern w:val="1"/>
          <w:sz w:val="22"/>
          <w:szCs w:val="22"/>
          <w:lang w:eastAsia="hi-IN" w:bidi="hi-IN"/>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 xml:space="preserve">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65B8B3B" w:rsidR="003C1938" w:rsidRPr="003A320F" w:rsidRDefault="0037731A"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 xml:space="preserve">pracovních dnů v daném kalendářní roce (vyjma vyřazení/odstavení z provozu z </w:t>
      </w:r>
      <w:r>
        <w:rPr>
          <w:rFonts w:ascii="Calibri" w:eastAsia="SimSun" w:hAnsi="Calibri" w:cs="Calibri"/>
          <w:kern w:val="1"/>
          <w:sz w:val="22"/>
          <w:szCs w:val="22"/>
          <w:lang w:eastAsia="hi-IN" w:bidi="hi-IN"/>
        </w:rPr>
        <w:t>důvodů spočívajících na straně 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37731A">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0E906F37"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w:t>
      </w:r>
      <w:r w:rsidR="0037731A">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4A2193DC"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w:t>
      </w:r>
      <w:r w:rsidR="0037731A">
        <w:rPr>
          <w:rFonts w:ascii="Calibri" w:eastAsia="SimSun" w:hAnsi="Calibri" w:cs="Calibri"/>
          <w:kern w:val="1"/>
          <w:sz w:val="22"/>
          <w:szCs w:val="22"/>
          <w:lang w:eastAsia="hi-IN" w:bidi="hi-IN"/>
        </w:rPr>
        <w:t>by odstranění závady ze strany prodávajícího</w:t>
      </w:r>
      <w:r w:rsidRPr="007D4423">
        <w:rPr>
          <w:rFonts w:ascii="Calibri" w:eastAsia="SimSun" w:hAnsi="Calibri" w:cs="Calibri"/>
          <w:kern w:val="1"/>
          <w:sz w:val="22"/>
          <w:szCs w:val="22"/>
          <w:lang w:eastAsia="hi-IN" w:bidi="hi-IN"/>
        </w:rPr>
        <w:t xml:space="preserve"> je kupující oprávněn vymáhat na </w:t>
      </w:r>
      <w:r w:rsidR="0037731A">
        <w:rPr>
          <w:rFonts w:ascii="Calibri" w:eastAsia="SimSun" w:hAnsi="Calibri" w:cs="Calibri"/>
          <w:kern w:val="1"/>
          <w:sz w:val="22"/>
          <w:szCs w:val="22"/>
          <w:lang w:eastAsia="hi-IN" w:bidi="hi-IN"/>
        </w:rPr>
        <w:t>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17A265A5" w:rsidR="00104420" w:rsidRPr="0037731A" w:rsidRDefault="006A36A9" w:rsidP="0037731A">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3DCF2398" w14:textId="0243AB27" w:rsidR="00104420" w:rsidRDefault="00CB32A5" w:rsidP="0037731A">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6FF22544" w14:textId="77777777" w:rsidR="0037731A" w:rsidRDefault="0037731A" w:rsidP="0037731A">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378C89A1" w14:textId="77777777" w:rsidR="0037731A" w:rsidRDefault="0037731A" w:rsidP="0037731A">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2588BCEE" w14:textId="77777777" w:rsidR="0037731A" w:rsidRPr="0037731A" w:rsidRDefault="0037731A" w:rsidP="0037731A">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1F03CD92"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Pokud je v českých právních předpisech stanovena lhůta delší, musí ji </w:t>
      </w:r>
      <w:r w:rsidR="0037731A">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11D45B24" w14:textId="200491C1" w:rsidR="00104420" w:rsidRPr="0037731A" w:rsidRDefault="00710649" w:rsidP="0037731A">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bookmarkEnd w:id="1"/>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2577B" w14:textId="77777777" w:rsidR="00610290" w:rsidRDefault="00610290" w:rsidP="009B0C36">
      <w:r>
        <w:separator/>
      </w:r>
    </w:p>
  </w:endnote>
  <w:endnote w:type="continuationSeparator" w:id="0">
    <w:p w14:paraId="6455B46D" w14:textId="77777777" w:rsidR="00610290" w:rsidRDefault="0061029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41CBCAC8" w14:textId="77777777" w:rsidR="000B330F" w:rsidRPr="00C7589F" w:rsidRDefault="000B330F" w:rsidP="000B330F">
        <w:pPr>
          <w:pStyle w:val="Zpat"/>
          <w:tabs>
            <w:tab w:val="left" w:pos="6330"/>
            <w:tab w:val="right" w:pos="9864"/>
          </w:tabs>
          <w:rPr>
            <w:rFonts w:asciiTheme="minorHAnsi" w:hAnsiTheme="minorHAnsi"/>
            <w:sz w:val="20"/>
            <w:szCs w:val="20"/>
          </w:rPr>
        </w:pPr>
        <w:r w:rsidRPr="00C7589F">
          <w:rPr>
            <w:rFonts w:asciiTheme="minorHAnsi" w:hAnsiTheme="minorHAnsi"/>
            <w:sz w:val="20"/>
            <w:szCs w:val="20"/>
          </w:rPr>
          <w:t xml:space="preserve">Název projektu: „Modernizace přístrojové vybavení Nemocnice Písek, a.s.“, </w:t>
        </w:r>
      </w:p>
      <w:p w14:paraId="422F35EB" w14:textId="77777777" w:rsidR="000B330F" w:rsidRPr="00C7589F" w:rsidRDefault="000B330F" w:rsidP="000B330F">
        <w:pPr>
          <w:pStyle w:val="Zpat"/>
          <w:tabs>
            <w:tab w:val="left" w:pos="6330"/>
            <w:tab w:val="right" w:pos="9864"/>
          </w:tabs>
          <w:rPr>
            <w:rFonts w:asciiTheme="minorHAnsi" w:hAnsiTheme="minorHAnsi"/>
            <w:sz w:val="20"/>
            <w:szCs w:val="20"/>
          </w:rPr>
        </w:pPr>
        <w:proofErr w:type="spellStart"/>
        <w:r w:rsidRPr="00C7589F">
          <w:rPr>
            <w:rFonts w:asciiTheme="minorHAnsi" w:hAnsiTheme="minorHAnsi"/>
            <w:sz w:val="20"/>
            <w:szCs w:val="20"/>
          </w:rPr>
          <w:t>reg</w:t>
        </w:r>
        <w:proofErr w:type="spellEnd"/>
        <w:r w:rsidRPr="00C7589F">
          <w:rPr>
            <w:rFonts w:asciiTheme="minorHAnsi" w:hAnsiTheme="minorHAnsi"/>
            <w:sz w:val="20"/>
            <w:szCs w:val="20"/>
          </w:rPr>
          <w:t xml:space="preserve">. č. </w:t>
        </w:r>
        <w:bookmarkStart w:id="2" w:name="_Hlk91499752"/>
        <w:r w:rsidRPr="00C7589F">
          <w:rPr>
            <w:rFonts w:asciiTheme="minorHAnsi" w:hAnsiTheme="minorHAnsi"/>
            <w:sz w:val="20"/>
            <w:szCs w:val="20"/>
          </w:rPr>
          <w:t>CZ.06.6.127/0.0/0.0/21_</w:t>
        </w:r>
        <w:bookmarkEnd w:id="2"/>
        <w:r w:rsidRPr="00C7589F">
          <w:rPr>
            <w:rFonts w:asciiTheme="minorHAnsi" w:hAnsiTheme="minorHAnsi"/>
            <w:sz w:val="20"/>
            <w:szCs w:val="20"/>
          </w:rPr>
          <w:t>121/0016389</w:t>
        </w:r>
      </w:p>
      <w:p w14:paraId="77DE50D2" w14:textId="28345B5A" w:rsidR="005B6B38" w:rsidRPr="00532F40" w:rsidRDefault="000B330F" w:rsidP="000B330F">
        <w:pPr>
          <w:pStyle w:val="Zpat"/>
          <w:tabs>
            <w:tab w:val="left" w:pos="6330"/>
            <w:tab w:val="right" w:pos="9864"/>
          </w:tabs>
          <w:rPr>
            <w:rFonts w:ascii="Calibri" w:hAnsi="Calibri" w:cs="Calibri"/>
            <w:sz w:val="22"/>
            <w:szCs w:val="22"/>
          </w:rPr>
        </w:pPr>
        <w:r w:rsidRPr="00C7589F">
          <w:rPr>
            <w:rFonts w:asciiTheme="minorHAnsi" w:hAnsiTheme="minorHAnsi"/>
            <w:b/>
            <w:sz w:val="20"/>
            <w:szCs w:val="20"/>
          </w:rPr>
          <w:t>Tento projekt je spolufinancován Evropskou unií v rámci reakce unie na pandemii COVID-19</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912BCA">
          <w:rPr>
            <w:rFonts w:ascii="Calibri" w:hAnsi="Calibri" w:cs="Calibri"/>
            <w:noProof/>
            <w:sz w:val="22"/>
            <w:szCs w:val="22"/>
          </w:rPr>
          <w:t>11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C3894" w14:textId="77777777" w:rsidR="00610290" w:rsidRDefault="00610290" w:rsidP="009B0C36">
      <w:r>
        <w:separator/>
      </w:r>
    </w:p>
  </w:footnote>
  <w:footnote w:type="continuationSeparator" w:id="0">
    <w:p w14:paraId="0563A7FE" w14:textId="77777777" w:rsidR="00610290" w:rsidRDefault="0061029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1235"/>
    <w:rsid w:val="00036D74"/>
    <w:rsid w:val="000400FF"/>
    <w:rsid w:val="00050D79"/>
    <w:rsid w:val="00060B76"/>
    <w:rsid w:val="000714AC"/>
    <w:rsid w:val="000832FE"/>
    <w:rsid w:val="00085A62"/>
    <w:rsid w:val="00093DF8"/>
    <w:rsid w:val="00096B62"/>
    <w:rsid w:val="000A0FF3"/>
    <w:rsid w:val="000B330F"/>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2050D5"/>
    <w:rsid w:val="00207242"/>
    <w:rsid w:val="002103A2"/>
    <w:rsid w:val="0021595B"/>
    <w:rsid w:val="00221998"/>
    <w:rsid w:val="00224193"/>
    <w:rsid w:val="00252024"/>
    <w:rsid w:val="00254911"/>
    <w:rsid w:val="00254B7C"/>
    <w:rsid w:val="00276440"/>
    <w:rsid w:val="00284731"/>
    <w:rsid w:val="0029403C"/>
    <w:rsid w:val="002960DC"/>
    <w:rsid w:val="00297C25"/>
    <w:rsid w:val="002A227A"/>
    <w:rsid w:val="002B6DB3"/>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73F2B"/>
    <w:rsid w:val="0037731A"/>
    <w:rsid w:val="00384616"/>
    <w:rsid w:val="00385276"/>
    <w:rsid w:val="00391180"/>
    <w:rsid w:val="003911F5"/>
    <w:rsid w:val="00393214"/>
    <w:rsid w:val="003A1A17"/>
    <w:rsid w:val="003A320F"/>
    <w:rsid w:val="003A6FD0"/>
    <w:rsid w:val="003B30BD"/>
    <w:rsid w:val="003B5429"/>
    <w:rsid w:val="003C18C0"/>
    <w:rsid w:val="003C1938"/>
    <w:rsid w:val="003C5D17"/>
    <w:rsid w:val="003D12B4"/>
    <w:rsid w:val="003D40CD"/>
    <w:rsid w:val="003D6C9E"/>
    <w:rsid w:val="00411A0C"/>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F3215"/>
    <w:rsid w:val="00503326"/>
    <w:rsid w:val="00522D34"/>
    <w:rsid w:val="0053054B"/>
    <w:rsid w:val="00532F40"/>
    <w:rsid w:val="00553D41"/>
    <w:rsid w:val="00562475"/>
    <w:rsid w:val="00583C01"/>
    <w:rsid w:val="0059677A"/>
    <w:rsid w:val="005B6B38"/>
    <w:rsid w:val="005C580D"/>
    <w:rsid w:val="005C6806"/>
    <w:rsid w:val="005D13F6"/>
    <w:rsid w:val="005D2191"/>
    <w:rsid w:val="005D2ABE"/>
    <w:rsid w:val="005F253D"/>
    <w:rsid w:val="006021C6"/>
    <w:rsid w:val="00610290"/>
    <w:rsid w:val="00615A1C"/>
    <w:rsid w:val="00615E23"/>
    <w:rsid w:val="006179D1"/>
    <w:rsid w:val="00624621"/>
    <w:rsid w:val="00636C16"/>
    <w:rsid w:val="00656E33"/>
    <w:rsid w:val="00680A50"/>
    <w:rsid w:val="006A2832"/>
    <w:rsid w:val="006A36A9"/>
    <w:rsid w:val="006B385E"/>
    <w:rsid w:val="006B5F57"/>
    <w:rsid w:val="006C07FB"/>
    <w:rsid w:val="006C6DC7"/>
    <w:rsid w:val="006D0171"/>
    <w:rsid w:val="006D5927"/>
    <w:rsid w:val="007035A0"/>
    <w:rsid w:val="007043A0"/>
    <w:rsid w:val="00710649"/>
    <w:rsid w:val="00714949"/>
    <w:rsid w:val="0075249B"/>
    <w:rsid w:val="0076251E"/>
    <w:rsid w:val="00771900"/>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17831"/>
    <w:rsid w:val="00836966"/>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2BCA"/>
    <w:rsid w:val="009151DB"/>
    <w:rsid w:val="009212FF"/>
    <w:rsid w:val="009250B6"/>
    <w:rsid w:val="0093122C"/>
    <w:rsid w:val="00947296"/>
    <w:rsid w:val="00950EAA"/>
    <w:rsid w:val="00951EB5"/>
    <w:rsid w:val="00964F90"/>
    <w:rsid w:val="00965747"/>
    <w:rsid w:val="00965C19"/>
    <w:rsid w:val="00973A4D"/>
    <w:rsid w:val="00977058"/>
    <w:rsid w:val="00985AB3"/>
    <w:rsid w:val="009878BE"/>
    <w:rsid w:val="00994D9E"/>
    <w:rsid w:val="009A5AB0"/>
    <w:rsid w:val="009B0C36"/>
    <w:rsid w:val="009B7886"/>
    <w:rsid w:val="009C4212"/>
    <w:rsid w:val="009C6352"/>
    <w:rsid w:val="009C6E46"/>
    <w:rsid w:val="009F261B"/>
    <w:rsid w:val="00A301BA"/>
    <w:rsid w:val="00A36F2B"/>
    <w:rsid w:val="00A37978"/>
    <w:rsid w:val="00A72C26"/>
    <w:rsid w:val="00A81AB0"/>
    <w:rsid w:val="00A822A5"/>
    <w:rsid w:val="00A83C25"/>
    <w:rsid w:val="00A938BF"/>
    <w:rsid w:val="00A97B84"/>
    <w:rsid w:val="00A97DF3"/>
    <w:rsid w:val="00AB34FE"/>
    <w:rsid w:val="00AC1C6A"/>
    <w:rsid w:val="00AC6680"/>
    <w:rsid w:val="00AE2B3E"/>
    <w:rsid w:val="00AF367E"/>
    <w:rsid w:val="00B071C9"/>
    <w:rsid w:val="00B2509B"/>
    <w:rsid w:val="00B46148"/>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F24BB"/>
    <w:rsid w:val="00BF2FC2"/>
    <w:rsid w:val="00C156D2"/>
    <w:rsid w:val="00C168C7"/>
    <w:rsid w:val="00C34021"/>
    <w:rsid w:val="00C512E7"/>
    <w:rsid w:val="00C84EB9"/>
    <w:rsid w:val="00C92EC4"/>
    <w:rsid w:val="00C9303B"/>
    <w:rsid w:val="00C96C5E"/>
    <w:rsid w:val="00CA0617"/>
    <w:rsid w:val="00CB09EF"/>
    <w:rsid w:val="00CB32A5"/>
    <w:rsid w:val="00CB5F41"/>
    <w:rsid w:val="00CC268A"/>
    <w:rsid w:val="00CC3673"/>
    <w:rsid w:val="00CC5747"/>
    <w:rsid w:val="00CD5890"/>
    <w:rsid w:val="00CD5D07"/>
    <w:rsid w:val="00CF0773"/>
    <w:rsid w:val="00D02334"/>
    <w:rsid w:val="00D13172"/>
    <w:rsid w:val="00D16900"/>
    <w:rsid w:val="00D350A6"/>
    <w:rsid w:val="00D409F0"/>
    <w:rsid w:val="00D42E70"/>
    <w:rsid w:val="00D60629"/>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228EC"/>
    <w:rsid w:val="00E42968"/>
    <w:rsid w:val="00E46846"/>
    <w:rsid w:val="00E60A24"/>
    <w:rsid w:val="00E6140A"/>
    <w:rsid w:val="00E702F2"/>
    <w:rsid w:val="00E75BE0"/>
    <w:rsid w:val="00E762CB"/>
    <w:rsid w:val="00E91E0D"/>
    <w:rsid w:val="00E92E41"/>
    <w:rsid w:val="00E95569"/>
    <w:rsid w:val="00E96EC0"/>
    <w:rsid w:val="00EB723F"/>
    <w:rsid w:val="00EC006E"/>
    <w:rsid w:val="00EC5D60"/>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6B8"/>
    <w:rsid w:val="00F96F46"/>
    <w:rsid w:val="00F970BC"/>
    <w:rsid w:val="00F97AAC"/>
    <w:rsid w:val="00FA62C3"/>
    <w:rsid w:val="00FB4FFF"/>
    <w:rsid w:val="00FB7CFB"/>
    <w:rsid w:val="00FC11D8"/>
    <w:rsid w:val="00FD657E"/>
    <w:rsid w:val="00FD7DCD"/>
    <w:rsid w:val="00FF3488"/>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3330</Words>
  <Characters>19652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5</cp:revision>
  <cp:lastPrinted>2018-10-01T07:59:00Z</cp:lastPrinted>
  <dcterms:created xsi:type="dcterms:W3CDTF">2022-04-18T19:14:00Z</dcterms:created>
  <dcterms:modified xsi:type="dcterms:W3CDTF">2022-05-10T11:22:00Z</dcterms:modified>
</cp:coreProperties>
</file>